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E8" w:rsidRDefault="00D409C8">
      <w:pPr>
        <w:pStyle w:val="20"/>
        <w:shd w:val="clear" w:color="auto" w:fill="auto"/>
        <w:ind w:left="20"/>
      </w:pPr>
      <w:r>
        <w:t xml:space="preserve">Анализ результатов краевой диагностической работы по химии для учащихся 9 классов ОО </w:t>
      </w:r>
      <w:r w:rsidR="002E29D5">
        <w:t>Северского района.</w:t>
      </w:r>
    </w:p>
    <w:p w:rsidR="000162E8" w:rsidRDefault="002E29D5">
      <w:pPr>
        <w:pStyle w:val="5"/>
        <w:shd w:val="clear" w:color="auto" w:fill="auto"/>
        <w:spacing w:before="0"/>
        <w:ind w:left="20" w:right="20" w:firstLine="740"/>
      </w:pPr>
      <w:r>
        <w:t>19</w:t>
      </w:r>
      <w:r w:rsidR="00D409C8">
        <w:t xml:space="preserve"> </w:t>
      </w:r>
      <w:r>
        <w:t>марта 2019</w:t>
      </w:r>
      <w:r w:rsidR="00D409C8">
        <w:t xml:space="preserve"> г. в </w:t>
      </w:r>
      <w:r>
        <w:t xml:space="preserve">Северском </w:t>
      </w:r>
      <w:r w:rsidR="00D409C8">
        <w:t>районе в соответствии с планом подготовки учащихся 9 классов к ОГЭ была проведена краевая диагностическая работа (далее - КДР) по химии.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Цели проведения работы:</w:t>
      </w:r>
    </w:p>
    <w:p w:rsidR="000162E8" w:rsidRDefault="00D409C8">
      <w:pPr>
        <w:pStyle w:val="5"/>
        <w:shd w:val="clear" w:color="auto" w:fill="auto"/>
        <w:tabs>
          <w:tab w:val="left" w:pos="1499"/>
        </w:tabs>
        <w:spacing w:before="0"/>
        <w:ind w:left="20" w:firstLine="740"/>
      </w:pPr>
      <w:r>
        <w:t>-</w:t>
      </w:r>
      <w:r>
        <w:tab/>
        <w:t>диагностика уровня знаний учащихся по химии;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познакомить учащих</w:t>
      </w:r>
      <w:r w:rsidR="002E29D5">
        <w:t>ся с форматом заданий ОГЭ - 2019</w:t>
      </w:r>
      <w:r>
        <w:t xml:space="preserve"> по химии, с нормами оценивания заданий экзаменационных работ;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отработать навык работы с бланком ответов №1ОГЭ;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основываясь на анализе результатов, определить пробелы в подготовке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определить связь типичных ошибок учащихся с методикой обучения и внести необходимые изменения в содержание и формы реализации дополнительных профессиональных программ повышения квалификации учителей химии.</w:t>
      </w:r>
    </w:p>
    <w:p w:rsidR="00560236" w:rsidRDefault="00D409C8">
      <w:pPr>
        <w:pStyle w:val="5"/>
        <w:shd w:val="clear" w:color="auto" w:fill="auto"/>
        <w:spacing w:before="0"/>
        <w:ind w:left="20" w:right="20" w:firstLine="740"/>
      </w:pPr>
      <w:r>
        <w:t>Работу выполняли учащиеся 9 классов, выбравших химию в качестве предмета по выбору ОГЭ. Количество учащихся, выпо</w:t>
      </w:r>
      <w:r w:rsidR="002E29D5">
        <w:t xml:space="preserve">лнявших работу, следующее: </w:t>
      </w:r>
      <w:r w:rsidR="002E29D5" w:rsidRPr="00560236">
        <w:rPr>
          <w:u w:val="single"/>
        </w:rPr>
        <w:t>65 человека из 6</w:t>
      </w:r>
      <w:r w:rsidRPr="00560236">
        <w:rPr>
          <w:u w:val="single"/>
        </w:rPr>
        <w:t>6 выбравших</w:t>
      </w:r>
      <w:r w:rsidR="00560236">
        <w:t>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Содержание заданий диагностической работы соответствовало Федеральному компоненту государственного образовательного стандарта основного общего и среднего общего образования по биологии, утвержденному Приказом Минобразования России от 5 марта 2004 г. № 1089.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Учителя и учащиеся имели возможность заранее ознакомиться с форматом работы: количеством заданий, их типами и проверяемых умений, нормами оценивания. План работы и демонстрационный вариант работы были размещены на сайте ГБОУ ИРО Краснодарского края.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Диагностическая работа составлена на основе примерной программы по химии для ступени основной школы. Работа структурирована на проверяемые элементы знаний и умений в соответствии с кодификатором ОГЭ по химии и содержит задания трех уровней сложности - базового, повышенного и высокого. Задания по предметному содержанию и типологии соответствуют аналогичным заданиям по химии демонстрацио</w:t>
      </w:r>
      <w:r w:rsidR="002E29D5">
        <w:t>нного варианта ОГЭ по химии 2019</w:t>
      </w:r>
      <w:r>
        <w:t xml:space="preserve"> го</w:t>
      </w:r>
      <w:r w:rsidR="002E29D5">
        <w:t>да. Время выполнения работы - 45</w:t>
      </w:r>
      <w:r>
        <w:t xml:space="preserve"> минут.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Краевая диагностическая работа по химии для 9 класса проводилась с различными типами заданий.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Работа имела 4 варианта и выполняется о</w:t>
      </w:r>
      <w:r w:rsidR="002E29D5">
        <w:t>бучающимися (сдающими ОГЭ в 2019</w:t>
      </w:r>
      <w:r>
        <w:t xml:space="preserve"> году) на бланках ответов № 1 ОГЭ. Задание с развернутым ответом выполняется на обратной стороне бланка.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 xml:space="preserve">При выполнении работы использовалась Периодическая система химических элементов Д.И. Менделеева, таблица </w:t>
      </w:r>
      <w:r>
        <w:lastRenderedPageBreak/>
        <w:t>растворимости солей,</w:t>
      </w:r>
    </w:p>
    <w:p w:rsidR="000162E8" w:rsidRDefault="00D409C8">
      <w:pPr>
        <w:pStyle w:val="5"/>
        <w:shd w:val="clear" w:color="auto" w:fill="auto"/>
        <w:spacing w:before="0"/>
        <w:ind w:left="120" w:right="140"/>
      </w:pPr>
      <w:r>
        <w:t xml:space="preserve">кислот и оснований в воде, электрохимический ряд напряжений металлов. Для вычислений допускалось использовать непрограммированный микрокалькулятор. </w:t>
      </w:r>
    </w:p>
    <w:p w:rsidR="000162E8" w:rsidRPr="003966CF" w:rsidRDefault="00D409C8">
      <w:pPr>
        <w:pStyle w:val="5"/>
        <w:shd w:val="clear" w:color="auto" w:fill="auto"/>
        <w:spacing w:before="0"/>
        <w:ind w:left="120" w:firstLine="740"/>
        <w:rPr>
          <w:sz w:val="32"/>
        </w:rPr>
      </w:pPr>
      <w:r w:rsidRPr="003966CF">
        <w:rPr>
          <w:sz w:val="32"/>
        </w:rPr>
        <w:t xml:space="preserve">Общий </w:t>
      </w:r>
      <w:r w:rsidR="002E29D5" w:rsidRPr="003966CF">
        <w:rPr>
          <w:sz w:val="32"/>
        </w:rPr>
        <w:t>балл за работу 16</w:t>
      </w:r>
      <w:r w:rsidRPr="003966CF">
        <w:rPr>
          <w:sz w:val="32"/>
        </w:rPr>
        <w:t xml:space="preserve"> баллов.</w:t>
      </w:r>
    </w:p>
    <w:p w:rsidR="00560236" w:rsidRPr="003966CF" w:rsidRDefault="00D409C8">
      <w:pPr>
        <w:pStyle w:val="5"/>
        <w:shd w:val="clear" w:color="auto" w:fill="auto"/>
        <w:spacing w:before="0"/>
        <w:ind w:left="120" w:right="140" w:firstLine="740"/>
        <w:rPr>
          <w:sz w:val="32"/>
        </w:rPr>
      </w:pPr>
      <w:r w:rsidRPr="003966CF">
        <w:rPr>
          <w:sz w:val="32"/>
        </w:rPr>
        <w:t>Средний балл по району -</w:t>
      </w:r>
      <w:r w:rsidR="00560236" w:rsidRPr="003966CF">
        <w:rPr>
          <w:sz w:val="32"/>
        </w:rPr>
        <w:t>11,54</w:t>
      </w:r>
      <w:r w:rsidRPr="003966CF">
        <w:rPr>
          <w:sz w:val="32"/>
        </w:rPr>
        <w:t>.</w:t>
      </w:r>
    </w:p>
    <w:p w:rsidR="000162E8" w:rsidRPr="003966CF" w:rsidRDefault="000162E8">
      <w:pPr>
        <w:pStyle w:val="5"/>
        <w:shd w:val="clear" w:color="auto" w:fill="auto"/>
        <w:spacing w:before="0"/>
        <w:ind w:left="120" w:right="140" w:firstLine="740"/>
        <w:rPr>
          <w:sz w:val="32"/>
        </w:rPr>
      </w:pPr>
    </w:p>
    <w:tbl>
      <w:tblPr>
        <w:tblStyle w:val="a7"/>
        <w:tblW w:w="0" w:type="auto"/>
        <w:tblInd w:w="120" w:type="dxa"/>
        <w:tblLook w:val="04A0"/>
      </w:tblPr>
      <w:tblGrid>
        <w:gridCol w:w="1071"/>
        <w:gridCol w:w="1645"/>
        <w:gridCol w:w="1417"/>
      </w:tblGrid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</w:pPr>
            <w:r>
              <w:t>Оценка</w:t>
            </w: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</w:pPr>
            <w:r w:rsidRPr="00753D21">
              <w:t>Количество полученных отметок</w:t>
            </w:r>
          </w:p>
        </w:tc>
        <w:tc>
          <w:tcPr>
            <w:tcW w:w="1417" w:type="dxa"/>
          </w:tcPr>
          <w:p w:rsidR="00753D21" w:rsidRPr="00753D21" w:rsidRDefault="00022502" w:rsidP="00644D8F">
            <w:pPr>
              <w:pStyle w:val="5"/>
              <w:shd w:val="clear" w:color="auto" w:fill="auto"/>
              <w:spacing w:before="0" w:after="3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40005</wp:posOffset>
                  </wp:positionV>
                  <wp:extent cx="5581650" cy="3067050"/>
                  <wp:effectExtent l="19050" t="0" r="1905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  <w:r w:rsidR="00753D21">
              <w:t xml:space="preserve">% оценок </w:t>
            </w:r>
          </w:p>
        </w:tc>
      </w:tr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753D21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t xml:space="preserve"> </w:t>
            </w:r>
            <w:r w:rsidRPr="00753D21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</w:pPr>
            <w:r w:rsidRPr="00753D21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b/>
                <w:bCs/>
                <w:sz w:val="28"/>
                <w:szCs w:val="28"/>
              </w:rPr>
              <w:t>24,6</w:t>
            </w:r>
          </w:p>
        </w:tc>
      </w:tr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753D21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b/>
                <w:bCs/>
                <w:sz w:val="28"/>
                <w:szCs w:val="28"/>
              </w:rPr>
              <w:t>36,9</w:t>
            </w:r>
          </w:p>
        </w:tc>
      </w:tr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753D21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b/>
                <w:bCs/>
                <w:sz w:val="28"/>
                <w:szCs w:val="28"/>
              </w:rPr>
              <w:t>29,2</w:t>
            </w:r>
          </w:p>
        </w:tc>
      </w:tr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753D21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 xml:space="preserve">«2» </w:t>
            </w: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  <w:r w:rsidRPr="00753D21">
              <w:rPr>
                <w:b/>
                <w:bCs/>
                <w:sz w:val="28"/>
                <w:szCs w:val="28"/>
              </w:rPr>
              <w:t>9,2</w:t>
            </w:r>
          </w:p>
        </w:tc>
      </w:tr>
      <w:tr w:rsidR="00753D21" w:rsidRPr="00753D21" w:rsidTr="00022502">
        <w:trPr>
          <w:trHeight w:val="695"/>
        </w:trPr>
        <w:tc>
          <w:tcPr>
            <w:tcW w:w="1071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53D21" w:rsidRPr="00753D21" w:rsidRDefault="00753D21" w:rsidP="00644D8F">
            <w:pPr>
              <w:pStyle w:val="5"/>
              <w:shd w:val="clear" w:color="auto" w:fill="auto"/>
              <w:spacing w:before="0" w:after="322"/>
              <w:rPr>
                <w:sz w:val="28"/>
                <w:szCs w:val="28"/>
              </w:rPr>
            </w:pPr>
          </w:p>
        </w:tc>
      </w:tr>
    </w:tbl>
    <w:p w:rsidR="006B74B6" w:rsidRDefault="006B74B6">
      <w:pPr>
        <w:pStyle w:val="5"/>
        <w:shd w:val="clear" w:color="auto" w:fill="auto"/>
        <w:spacing w:before="0" w:after="322"/>
        <w:ind w:left="120" w:right="140" w:firstLine="740"/>
      </w:pPr>
    </w:p>
    <w:p w:rsidR="006B74B6" w:rsidRDefault="006B74B6">
      <w:pPr>
        <w:pStyle w:val="5"/>
        <w:shd w:val="clear" w:color="auto" w:fill="auto"/>
        <w:spacing w:before="0" w:after="322"/>
        <w:ind w:left="120" w:right="140" w:firstLine="740"/>
      </w:pPr>
    </w:p>
    <w:p w:rsidR="00560236" w:rsidRDefault="00D409C8">
      <w:pPr>
        <w:pStyle w:val="5"/>
        <w:shd w:val="clear" w:color="auto" w:fill="auto"/>
        <w:spacing w:before="0" w:after="322"/>
        <w:ind w:left="120" w:right="140" w:firstLine="740"/>
      </w:pPr>
      <w:r>
        <w:t xml:space="preserve">Как видно из статистики, </w:t>
      </w:r>
    </w:p>
    <w:p w:rsidR="000162E8" w:rsidRPr="00560236" w:rsidRDefault="00560236">
      <w:pPr>
        <w:pStyle w:val="5"/>
        <w:shd w:val="clear" w:color="auto" w:fill="auto"/>
        <w:spacing w:before="0" w:after="322"/>
        <w:ind w:left="120" w:right="140" w:firstLine="740"/>
        <w:rPr>
          <w:u w:val="single"/>
        </w:rPr>
      </w:pPr>
      <w:r w:rsidRPr="00560236">
        <w:rPr>
          <w:u w:val="single"/>
        </w:rPr>
        <w:t xml:space="preserve">9,2 </w:t>
      </w:r>
      <w:r w:rsidR="00D409C8" w:rsidRPr="00560236">
        <w:rPr>
          <w:u w:val="single"/>
        </w:rPr>
        <w:t>%, писавших диагностическую работу, не преодолели порог успешности, а процент качества-</w:t>
      </w:r>
      <w:r w:rsidRPr="00560236">
        <w:rPr>
          <w:u w:val="single"/>
        </w:rPr>
        <w:t xml:space="preserve"> 61</w:t>
      </w:r>
      <w:r w:rsidR="00D409C8" w:rsidRPr="00560236">
        <w:rPr>
          <w:u w:val="single"/>
        </w:rPr>
        <w:t>%.</w:t>
      </w:r>
    </w:p>
    <w:p w:rsidR="000162E8" w:rsidRDefault="00D409C8">
      <w:pPr>
        <w:pStyle w:val="5"/>
        <w:shd w:val="clear" w:color="auto" w:fill="auto"/>
        <w:spacing w:before="0"/>
        <w:ind w:left="120" w:firstLine="740"/>
      </w:pPr>
      <w:r>
        <w:lastRenderedPageBreak/>
        <w:t>Анализ выполнения заданий</w:t>
      </w:r>
    </w:p>
    <w:tbl>
      <w:tblPr>
        <w:tblW w:w="11536" w:type="dxa"/>
        <w:tblInd w:w="108" w:type="dxa"/>
        <w:tblLook w:val="04A0"/>
      </w:tblPr>
      <w:tblGrid>
        <w:gridCol w:w="960"/>
        <w:gridCol w:w="962"/>
        <w:gridCol w:w="962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</w:tblGrid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125730</wp:posOffset>
                  </wp:positionV>
                  <wp:extent cx="6924675" cy="3657600"/>
                  <wp:effectExtent l="19050" t="0" r="9525" b="0"/>
                  <wp:wrapNone/>
                  <wp:docPr id="1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5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6B74B6" w:rsidRPr="006B74B6" w:rsidTr="006B74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4B6" w:rsidRPr="006B74B6" w:rsidRDefault="006B74B6" w:rsidP="006B74B6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6B74B6" w:rsidRDefault="006B74B6">
      <w:pPr>
        <w:pStyle w:val="5"/>
        <w:shd w:val="clear" w:color="auto" w:fill="auto"/>
        <w:spacing w:before="0"/>
        <w:ind w:left="120" w:firstLine="740"/>
      </w:pPr>
    </w:p>
    <w:p w:rsidR="000162E8" w:rsidRDefault="00D409C8">
      <w:pPr>
        <w:pStyle w:val="5"/>
        <w:shd w:val="clear" w:color="auto" w:fill="auto"/>
        <w:spacing w:before="0"/>
        <w:ind w:left="120" w:right="140" w:firstLine="740"/>
      </w:pPr>
      <w:r>
        <w:t>Эта диаграмма дает четкое представление о том, на какие темы и вопросы необходимо обратить внимание и основательно проработать.</w:t>
      </w:r>
    </w:p>
    <w:p w:rsidR="004A5566" w:rsidRDefault="00D409C8">
      <w:pPr>
        <w:pStyle w:val="5"/>
        <w:shd w:val="clear" w:color="auto" w:fill="auto"/>
        <w:spacing w:before="0" w:after="296"/>
        <w:ind w:left="120" w:firstLine="740"/>
      </w:pPr>
      <w:r>
        <w:t>В КДР низкий показатель по заданиям №</w:t>
      </w:r>
      <w:r w:rsidR="003966CF">
        <w:t>7,</w:t>
      </w:r>
      <w:r>
        <w:t>10,11.</w:t>
      </w:r>
    </w:p>
    <w:p w:rsidR="000162E8" w:rsidRDefault="000162E8">
      <w:pPr>
        <w:pStyle w:val="5"/>
        <w:shd w:val="clear" w:color="auto" w:fill="auto"/>
        <w:spacing w:before="0" w:after="296"/>
        <w:ind w:left="120" w:firstLine="740"/>
      </w:pPr>
    </w:p>
    <w:tbl>
      <w:tblPr>
        <w:tblOverlap w:val="never"/>
        <w:tblW w:w="0" w:type="auto"/>
        <w:tblInd w:w="13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246"/>
        <w:gridCol w:w="1200"/>
        <w:gridCol w:w="765"/>
        <w:gridCol w:w="1222"/>
      </w:tblGrid>
      <w:tr w:rsidR="00022502" w:rsidRPr="003966CF" w:rsidTr="004A5566">
        <w:trPr>
          <w:trHeight w:hRule="exact" w:val="9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процент</w:t>
            </w:r>
          </w:p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022502" w:rsidRPr="003966CF" w:rsidTr="004A5566">
        <w:trPr>
          <w:trHeight w:hRule="exact" w:val="2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Строение атома. Строение электронных оболочек атомов первых 20 элементов Периодической системы Д.И. Менделеева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3966CF">
            <w:pPr>
              <w:jc w:val="center"/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75,4</w:t>
            </w:r>
          </w:p>
        </w:tc>
      </w:tr>
      <w:tr w:rsidR="00022502" w:rsidRPr="003966CF" w:rsidTr="004A5566">
        <w:trPr>
          <w:trHeight w:hRule="exact" w:val="97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Строение молекул. Химическая связь: ковалентная (полярная и неполярная), ионная, металлическая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3966CF">
            <w:pPr>
              <w:jc w:val="center"/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92,3</w:t>
            </w:r>
          </w:p>
        </w:tc>
      </w:tr>
      <w:tr w:rsidR="00022502" w:rsidRPr="003966CF" w:rsidTr="004A5566">
        <w:trPr>
          <w:trHeight w:hRule="exact" w:val="9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Валентность химических элементов. Степень окисления химических элементов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3966CF">
            <w:pPr>
              <w:jc w:val="center"/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78,5</w:t>
            </w:r>
          </w:p>
        </w:tc>
      </w:tr>
      <w:tr w:rsidR="00022502" w:rsidRPr="003966CF" w:rsidTr="004A5566">
        <w:trPr>
          <w:trHeight w:hRule="exact" w:val="1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3966CF">
            <w:pPr>
              <w:jc w:val="center"/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69,2</w:t>
            </w:r>
          </w:p>
        </w:tc>
      </w:tr>
      <w:tr w:rsidR="00022502" w:rsidRPr="003966CF" w:rsidTr="003966CF">
        <w:trPr>
          <w:trHeight w:hRule="exact" w:val="23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Химическая реакция. Химические уравнения. Сохранение массы веществ при химических реакциях.</w:t>
            </w:r>
          </w:p>
          <w:p w:rsidR="00022502" w:rsidRPr="003966CF" w:rsidRDefault="00022502" w:rsidP="004A5566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3966CF">
            <w:pPr>
              <w:jc w:val="center"/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70,8</w:t>
            </w:r>
          </w:p>
        </w:tc>
      </w:tr>
      <w:tr w:rsidR="00022502" w:rsidRPr="003966CF" w:rsidTr="003966CF">
        <w:trPr>
          <w:trHeight w:hRule="exact" w:val="23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Электролиты и неэлектролиты. Катионы и анионы. Электролитическая диссоциация кислот, щелочей и солей (средних)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jc w:val="center"/>
              <w:rPr>
                <w:rFonts w:ascii="Times New Roman" w:hAnsi="Times New Roman" w:cs="Times New Roman"/>
              </w:rPr>
            </w:pPr>
            <w:r w:rsidRPr="004A5566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022502" w:rsidRPr="003966CF" w:rsidTr="006B74B6">
        <w:trPr>
          <w:trHeight w:hRule="exact" w:val="314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Чистые вещества и смеси. Правила безопасной работы в школьной лаборатории. Лабораторная посуда и оборудование. 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Человек в мире веществ, материалов и химических реакций. Проблемы безопасного использования веществ и химических реакций в повседневной жизни. 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Разделение смесей и очистка веществ. 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Приготовление растворов. 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Химическое загрязнение окружающей среды и его последствия 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eastAsia="Times New Roman" w:hAnsi="Times New Roman" w:cs="Times New Roman"/>
                <w:b/>
              </w:rPr>
              <w:t>55,4</w:t>
            </w:r>
          </w:p>
        </w:tc>
      </w:tr>
      <w:tr w:rsidR="00022502" w:rsidRPr="003966CF" w:rsidTr="003966CF">
        <w:trPr>
          <w:trHeight w:hRule="exact" w:val="23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 xml:space="preserve">Химические свойства оксидов: оснόвных, амфотерных, кислотных. </w:t>
            </w:r>
          </w:p>
          <w:p w:rsidR="00022502" w:rsidRPr="003966CF" w:rsidRDefault="00022502" w:rsidP="00572921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 xml:space="preserve">Химические свойства оснований. Химические свойства кислот. </w:t>
            </w:r>
          </w:p>
          <w:p w:rsidR="00022502" w:rsidRPr="003966CF" w:rsidRDefault="00022502" w:rsidP="00572921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 xml:space="preserve">Химические свойства солей (средних) 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5"/>
              <w:shd w:val="clear" w:color="auto" w:fill="auto"/>
              <w:spacing w:before="0" w:line="270" w:lineRule="exact"/>
              <w:ind w:left="860"/>
              <w:jc w:val="left"/>
              <w:rPr>
                <w:sz w:val="24"/>
                <w:szCs w:val="24"/>
              </w:rPr>
            </w:pPr>
            <w:r w:rsidRPr="004A5566">
              <w:rPr>
                <w:sz w:val="24"/>
                <w:szCs w:val="24"/>
              </w:rPr>
              <w:t>78,5</w:t>
            </w:r>
          </w:p>
        </w:tc>
      </w:tr>
      <w:tr w:rsidR="00022502" w:rsidRPr="003966CF" w:rsidTr="003966CF">
        <w:trPr>
          <w:trHeight w:hRule="exact" w:val="239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rPr>
                <w:rFonts w:ascii="Times New Roman" w:hAnsi="Times New Roman" w:cs="Times New Roman"/>
              </w:rPr>
            </w:pPr>
            <w:r w:rsidRPr="003966CF">
              <w:rPr>
                <w:rFonts w:ascii="Times New Roman" w:hAnsi="Times New Roman" w:cs="Times New Roman"/>
              </w:rPr>
              <w:t>Вычисление массовой доли химического элемента в веществе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5"/>
              <w:shd w:val="clear" w:color="auto" w:fill="auto"/>
              <w:spacing w:before="0" w:line="270" w:lineRule="exact"/>
              <w:ind w:left="860"/>
              <w:jc w:val="left"/>
              <w:rPr>
                <w:sz w:val="24"/>
                <w:szCs w:val="24"/>
              </w:rPr>
            </w:pPr>
            <w:r w:rsidRPr="004A5566">
              <w:rPr>
                <w:sz w:val="24"/>
                <w:szCs w:val="24"/>
              </w:rPr>
              <w:t>84,6</w:t>
            </w:r>
          </w:p>
        </w:tc>
      </w:tr>
      <w:tr w:rsidR="00022502" w:rsidRPr="003966CF" w:rsidTr="00572921">
        <w:trPr>
          <w:trHeight w:hRule="exact" w:val="111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>Степень окисления химических элементов. Окислитель и восстановитель.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>Окислительно-восстановительные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>реакции.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pStyle w:val="5"/>
              <w:shd w:val="clear" w:color="auto" w:fill="auto"/>
              <w:spacing w:before="0" w:line="270" w:lineRule="exact"/>
              <w:jc w:val="left"/>
              <w:rPr>
                <w:b/>
                <w:sz w:val="24"/>
                <w:szCs w:val="24"/>
              </w:rPr>
            </w:pPr>
            <w:r w:rsidRPr="006B74B6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pStyle w:val="5"/>
              <w:shd w:val="clear" w:color="auto" w:fill="auto"/>
              <w:spacing w:before="0" w:line="270" w:lineRule="exact"/>
              <w:jc w:val="left"/>
              <w:rPr>
                <w:b/>
                <w:sz w:val="24"/>
                <w:szCs w:val="24"/>
              </w:rPr>
            </w:pPr>
            <w:r w:rsidRPr="006B74B6">
              <w:rPr>
                <w:b/>
                <w:sz w:val="24"/>
                <w:szCs w:val="24"/>
              </w:rPr>
              <w:t>26,2</w:t>
            </w:r>
          </w:p>
        </w:tc>
      </w:tr>
      <w:tr w:rsidR="00022502" w:rsidRPr="003966CF" w:rsidTr="00572921">
        <w:trPr>
          <w:trHeight w:hRule="exact" w:val="1275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pStyle w:val="5"/>
              <w:spacing w:line="270" w:lineRule="exact"/>
              <w:jc w:val="left"/>
              <w:rPr>
                <w:b/>
                <w:sz w:val="24"/>
                <w:szCs w:val="24"/>
              </w:rPr>
            </w:pPr>
            <w:r w:rsidRPr="006B74B6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pStyle w:val="5"/>
              <w:spacing w:line="270" w:lineRule="exact"/>
              <w:jc w:val="left"/>
              <w:rPr>
                <w:b/>
                <w:sz w:val="24"/>
                <w:szCs w:val="24"/>
              </w:rPr>
            </w:pPr>
            <w:r w:rsidRPr="006B74B6">
              <w:rPr>
                <w:b/>
                <w:sz w:val="24"/>
                <w:szCs w:val="24"/>
              </w:rPr>
              <w:t>66,2</w:t>
            </w:r>
          </w:p>
        </w:tc>
      </w:tr>
      <w:tr w:rsidR="00022502" w:rsidRPr="003966CF" w:rsidTr="00022502">
        <w:trPr>
          <w:trHeight w:hRule="exact" w:val="48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  <w:r w:rsidRPr="006B74B6">
              <w:rPr>
                <w:rFonts w:ascii="Times New Roman" w:hAnsi="Times New Roman" w:cs="Times New Roman"/>
                <w:b/>
              </w:rPr>
              <w:t xml:space="preserve">Химические свойства простых веществ. Химические свойства сложных веществ. Взаимосвязь различных классов неорганических веществ. Реакции ионного обмена и условия их осуществления </w:t>
            </w:r>
          </w:p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1б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3,1</w:t>
            </w:r>
          </w:p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022502" w:rsidRPr="003966CF" w:rsidTr="00022502">
        <w:trPr>
          <w:trHeight w:hRule="exact" w:val="665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2б</w:t>
            </w:r>
          </w:p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3,1</w:t>
            </w:r>
          </w:p>
          <w:p w:rsidR="00022502" w:rsidRPr="006B74B6" w:rsidRDefault="00022502" w:rsidP="000225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2502" w:rsidRPr="006B74B6" w:rsidRDefault="00022502" w:rsidP="000225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2502" w:rsidRPr="006B74B6" w:rsidRDefault="00022502" w:rsidP="000225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22502" w:rsidRPr="003966CF" w:rsidTr="00022502">
        <w:trPr>
          <w:trHeight w:hRule="exact" w:val="59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B74B6">
              <w:rPr>
                <w:b/>
                <w:sz w:val="22"/>
              </w:rPr>
              <w:t>3б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13,8</w:t>
            </w:r>
          </w:p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22502" w:rsidRPr="003966CF" w:rsidTr="007054B4">
        <w:trPr>
          <w:trHeight w:hRule="exact" w:val="63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3966CF" w:rsidRDefault="00022502" w:rsidP="0057292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B74B6">
              <w:rPr>
                <w:b/>
                <w:sz w:val="22"/>
              </w:rPr>
              <w:t>4б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pStyle w:val="5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B74B6">
              <w:rPr>
                <w:b/>
                <w:sz w:val="22"/>
              </w:rPr>
              <w:t>16,9</w:t>
            </w:r>
          </w:p>
        </w:tc>
      </w:tr>
      <w:tr w:rsidR="00022502" w:rsidRPr="003966CF" w:rsidTr="00022502">
        <w:trPr>
          <w:trHeight w:hRule="exact" w:val="63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022502" w:rsidRDefault="00022502" w:rsidP="0002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502" w:rsidRPr="006B74B6" w:rsidRDefault="00022502" w:rsidP="005729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5б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02" w:rsidRPr="006B74B6" w:rsidRDefault="00022502" w:rsidP="000225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B74B6">
              <w:rPr>
                <w:rFonts w:ascii="Times New Roman" w:eastAsia="Times New Roman" w:hAnsi="Times New Roman" w:cs="Times New Roman"/>
                <w:b/>
                <w:sz w:val="22"/>
              </w:rPr>
              <w:t>38,5</w:t>
            </w:r>
          </w:p>
        </w:tc>
      </w:tr>
    </w:tbl>
    <w:p w:rsidR="000162E8" w:rsidRPr="004A5566" w:rsidRDefault="000162E8" w:rsidP="004A5566"/>
    <w:p w:rsidR="000162E8" w:rsidRDefault="000162E8">
      <w:pPr>
        <w:rPr>
          <w:sz w:val="2"/>
          <w:szCs w:val="2"/>
        </w:rPr>
      </w:pP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rPr>
          <w:rStyle w:val="a5"/>
        </w:rPr>
        <w:t xml:space="preserve">Анализ </w:t>
      </w:r>
      <w:r>
        <w:t>КДР в 9- м классе позволяет сделать соответствующие выводы: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в целях повышения эффективности преподавания химии и подготовки обучающихся 9 классов к ОГЭ рекомендуется обратить внимание на ряд содержательных и организационных аспектов в построении учебного процесса.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Необходимо проанализировать типичные ошибки и затруднения, выявленные по результатам КДР и ОГЭ.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lastRenderedPageBreak/>
        <w:t>В целях их преодоления и получения положительного результата необходимо освоить следующие знания:</w:t>
      </w:r>
    </w:p>
    <w:p w:rsidR="000162E8" w:rsidRDefault="00D409C8">
      <w:pPr>
        <w:pStyle w:val="11"/>
        <w:keepNext/>
        <w:keepLines/>
        <w:shd w:val="clear" w:color="auto" w:fill="auto"/>
        <w:spacing w:after="236" w:line="270" w:lineRule="exact"/>
        <w:ind w:left="20"/>
      </w:pPr>
      <w:bookmarkStart w:id="0" w:name="bookmark0"/>
      <w:r>
        <w:t>Методические рекомендации.</w:t>
      </w:r>
      <w:bookmarkEnd w:id="0"/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В оставшееся время уделить внимание организации и проведению индивидуальных и групповых занятий по повторению и обобщению элементов содержания КИМов ОГЭ с разбором типичных о</w:t>
      </w:r>
      <w:r>
        <w:rPr>
          <w:rStyle w:val="3"/>
        </w:rPr>
        <w:t>ши</w:t>
      </w:r>
      <w:r>
        <w:t>бок.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При проведении обобщающих занятий особое внимание обратить на</w:t>
      </w:r>
    </w:p>
    <w:p w:rsidR="000162E8" w:rsidRDefault="00D409C8">
      <w:pPr>
        <w:pStyle w:val="5"/>
        <w:shd w:val="clear" w:color="auto" w:fill="auto"/>
        <w:spacing w:before="0"/>
        <w:ind w:left="20"/>
      </w:pPr>
      <w:r>
        <w:t>темы: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Генетическая связь между важнейшими классами неорганических соединений.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Генетическая связь между классами органических соединений.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Окислительно-восстановительные реакции с участием соединений железа, хрома, марганца, азота, серы, галогенов и органических соединений.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Качественные реакции неорганических и органических соединений.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Закономерности протекания химических реакций.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Реакции в водных растворах электролитов.</w:t>
      </w:r>
    </w:p>
    <w:p w:rsidR="000162E8" w:rsidRDefault="00D409C8">
      <w:pPr>
        <w:pStyle w:val="5"/>
        <w:shd w:val="clear" w:color="auto" w:fill="auto"/>
        <w:spacing w:before="0"/>
        <w:ind w:left="20" w:right="20" w:firstLine="740"/>
      </w:pPr>
      <w:r>
        <w:t>Более активно использовать в учебном процессе демонстрационный и лабораторный эксперимент.</w:t>
      </w:r>
    </w:p>
    <w:p w:rsidR="000162E8" w:rsidRDefault="00D409C8">
      <w:pPr>
        <w:pStyle w:val="5"/>
        <w:shd w:val="clear" w:color="auto" w:fill="auto"/>
        <w:spacing w:before="0"/>
        <w:ind w:left="20" w:firstLine="740"/>
      </w:pPr>
      <w:r>
        <w:t>Учителям химии следует внимательно изучать нормативные документы, определяющие структуру и содержание итоговой аттестации в 9</w:t>
      </w:r>
      <w:r>
        <w:softHyphen/>
        <w:t>х классах, обращать внимание не только на демоверсию контрольно- измерительных материалов ОГЭ, но и на содержание спецификации и кодификатора.</w:t>
      </w:r>
    </w:p>
    <w:p w:rsidR="000162E8" w:rsidRDefault="00D409C8">
      <w:pPr>
        <w:pStyle w:val="5"/>
        <w:shd w:val="clear" w:color="auto" w:fill="auto"/>
        <w:spacing w:before="0"/>
        <w:ind w:right="20" w:firstLine="740"/>
      </w:pPr>
      <w:r>
        <w:t>При подготовке к ОГЭ использовать тесты и задания с грифом ФИПИ (под ред. А.А.Кавериной).</w:t>
      </w:r>
    </w:p>
    <w:p w:rsidR="000162E8" w:rsidRDefault="00D409C8">
      <w:pPr>
        <w:pStyle w:val="5"/>
        <w:shd w:val="clear" w:color="auto" w:fill="auto"/>
        <w:spacing w:before="0"/>
        <w:ind w:right="20" w:firstLine="740"/>
      </w:pPr>
      <w:r>
        <w:t xml:space="preserve">Методическую помощь учителям и учащимся могут оказать материалы, размещенные на сайте ФИПИ </w:t>
      </w:r>
      <w:hyperlink r:id="rId9" w:history="1">
        <w:r w:rsidRPr="002E29D5">
          <w:rPr>
            <w:rStyle w:val="a3"/>
          </w:rPr>
          <w:t>(</w:t>
        </w:r>
        <w:r>
          <w:rPr>
            <w:rStyle w:val="a3"/>
          </w:rPr>
          <w:t>www.fipi.ru</w:t>
        </w:r>
        <w:r w:rsidRPr="002E29D5">
          <w:rPr>
            <w:rStyle w:val="a3"/>
          </w:rPr>
          <w:t>)</w:t>
        </w:r>
      </w:hyperlink>
    </w:p>
    <w:p w:rsidR="000162E8" w:rsidRDefault="00D409C8">
      <w:pPr>
        <w:pStyle w:val="5"/>
        <w:shd w:val="clear" w:color="auto" w:fill="auto"/>
        <w:spacing w:before="0" w:after="341"/>
        <w:ind w:right="20" w:firstLine="740"/>
      </w:pPr>
      <w:r>
        <w:t>Для реализации всех поставленных задач необходимо правильно отобрать учебную литературу, тренировочных и методических материалов для непосредственной подготовки к экзамену, поскольку не все пособия дают адекватное представление о КИМ(ах). Изменилась модель КИМ ОГЭ в 2018 году, что потребовало скорректировать подходы к построению КИМ(а), соответственно учителю также необходимо пересмотреть формы и методы преподавания предмета, чтобы идти в унисон со временем и требованиями современности.</w:t>
      </w:r>
    </w:p>
    <w:sectPr w:rsidR="000162E8" w:rsidSect="004A5566">
      <w:type w:val="continuous"/>
      <w:pgSz w:w="16838" w:h="11909" w:orient="landscape"/>
      <w:pgMar w:top="1190" w:right="927" w:bottom="1123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E9" w:rsidRDefault="00C721E9" w:rsidP="000162E8">
      <w:r>
        <w:separator/>
      </w:r>
    </w:p>
  </w:endnote>
  <w:endnote w:type="continuationSeparator" w:id="1">
    <w:p w:rsidR="00C721E9" w:rsidRDefault="00C721E9" w:rsidP="0001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E9" w:rsidRDefault="00C721E9"/>
  </w:footnote>
  <w:footnote w:type="continuationSeparator" w:id="1">
    <w:p w:rsidR="00C721E9" w:rsidRDefault="00C721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6B0"/>
    <w:multiLevelType w:val="hybridMultilevel"/>
    <w:tmpl w:val="F9CA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5A2"/>
    <w:multiLevelType w:val="hybridMultilevel"/>
    <w:tmpl w:val="225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4CB8"/>
    <w:multiLevelType w:val="hybridMultilevel"/>
    <w:tmpl w:val="D2A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7C16"/>
    <w:multiLevelType w:val="hybridMultilevel"/>
    <w:tmpl w:val="3A5657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D8533A1"/>
    <w:multiLevelType w:val="hybridMultilevel"/>
    <w:tmpl w:val="BA467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4466"/>
    <w:multiLevelType w:val="hybridMultilevel"/>
    <w:tmpl w:val="6AC6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5A8C"/>
    <w:multiLevelType w:val="hybridMultilevel"/>
    <w:tmpl w:val="C5E2FA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62E8"/>
    <w:rsid w:val="000162E8"/>
    <w:rsid w:val="00022502"/>
    <w:rsid w:val="0009171F"/>
    <w:rsid w:val="000D7CEC"/>
    <w:rsid w:val="002E29D5"/>
    <w:rsid w:val="003966CF"/>
    <w:rsid w:val="004A5566"/>
    <w:rsid w:val="00560236"/>
    <w:rsid w:val="00572921"/>
    <w:rsid w:val="006B74B6"/>
    <w:rsid w:val="00753D21"/>
    <w:rsid w:val="007E0D24"/>
    <w:rsid w:val="00832969"/>
    <w:rsid w:val="00AC5454"/>
    <w:rsid w:val="00BC2641"/>
    <w:rsid w:val="00C721E9"/>
    <w:rsid w:val="00D409C8"/>
    <w:rsid w:val="00EE7ECD"/>
    <w:rsid w:val="00F44CA7"/>
    <w:rsid w:val="00F4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2E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6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sid w:val="00016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0162E8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162E8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0162E8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16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sid w:val="000162E8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4"/>
    <w:basedOn w:val="a4"/>
    <w:rsid w:val="000162E8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0162E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4"/>
    <w:rsid w:val="000162E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162E8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560236"/>
    <w:pPr>
      <w:ind w:left="720"/>
      <w:contextualSpacing/>
    </w:pPr>
  </w:style>
  <w:style w:type="paragraph" w:customStyle="1" w:styleId="Default">
    <w:name w:val="Default"/>
    <w:rsid w:val="0056023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753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103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полученных отметок</a:t>
            </a:r>
          </a:p>
          <a:p>
            <a:pPr>
              <a:defRPr/>
            </a:pPr>
            <a:r>
              <a:rPr lang="ru-RU"/>
              <a:t>КДР по химии  9 класс 19.02.2019 Северский район </a:t>
            </a:r>
          </a:p>
        </c:rich>
      </c:tx>
      <c:layout>
        <c:manualLayout>
          <c:xMode val="edge"/>
          <c:yMode val="edge"/>
          <c:x val="4.9656905631894073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Количество полученных отметок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 «5» </c:v>
                </c:pt>
                <c:pt idx="1">
                  <c:v>«4» </c:v>
                </c:pt>
                <c:pt idx="2">
                  <c:v>«3» </c:v>
                </c:pt>
                <c:pt idx="3">
                  <c:v>«2»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24</c:v>
                </c:pt>
                <c:pt idx="2">
                  <c:v>19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% оценок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 «5» </c:v>
                </c:pt>
                <c:pt idx="1">
                  <c:v>«4» </c:v>
                </c:pt>
                <c:pt idx="2">
                  <c:v>«3» </c:v>
                </c:pt>
                <c:pt idx="3">
                  <c:v>«2»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24.6</c:v>
                </c:pt>
                <c:pt idx="1">
                  <c:v>36.9</c:v>
                </c:pt>
                <c:pt idx="2">
                  <c:v>29.2</c:v>
                </c:pt>
                <c:pt idx="3">
                  <c:v>9.2000000000000011</c:v>
                </c:pt>
              </c:numCache>
            </c:numRef>
          </c:val>
        </c:ser>
        <c:firstSliceAng val="0"/>
      </c:pieChart>
    </c:plotArea>
    <c:legend>
      <c:legendPos val="l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Процент</a:t>
            </a:r>
            <a:r>
              <a:rPr lang="ru-RU" baseline="0"/>
              <a:t> обучающихся, получивших баллы на КДР по химии в 9 классе 19.03.2019 в Северском районе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Sheet1!$A$17:$P$17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
1 б</c:v>
                </c:pt>
                <c:pt idx="10">
                  <c:v>10
2 б</c:v>
                </c:pt>
                <c:pt idx="11">
                  <c:v>11
1 б</c:v>
                </c:pt>
                <c:pt idx="12">
                  <c:v>11
2 б</c:v>
                </c:pt>
                <c:pt idx="13">
                  <c:v>11
3 б</c:v>
                </c:pt>
                <c:pt idx="14">
                  <c:v>11
4 б</c:v>
                </c:pt>
                <c:pt idx="15">
                  <c:v>11
5 б</c:v>
                </c:pt>
              </c:strCache>
            </c:strRef>
          </c:cat>
          <c:val>
            <c:numRef>
              <c:f>Sheet1!$A$18:$P$18</c:f>
              <c:numCache>
                <c:formatCode>General</c:formatCode>
                <c:ptCount val="16"/>
                <c:pt idx="0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Sheet1!$A$17:$P$17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
1 б</c:v>
                </c:pt>
                <c:pt idx="10">
                  <c:v>10
2 б</c:v>
                </c:pt>
                <c:pt idx="11">
                  <c:v>11
1 б</c:v>
                </c:pt>
                <c:pt idx="12">
                  <c:v>11
2 б</c:v>
                </c:pt>
                <c:pt idx="13">
                  <c:v>11
3 б</c:v>
                </c:pt>
                <c:pt idx="14">
                  <c:v>11
4 б</c:v>
                </c:pt>
                <c:pt idx="15">
                  <c:v>11
5 б</c:v>
                </c:pt>
              </c:strCache>
            </c:strRef>
          </c:cat>
          <c:val>
            <c:numRef>
              <c:f>Sheet1!$A$19:$P$19</c:f>
              <c:numCache>
                <c:formatCode>0.0</c:formatCode>
                <c:ptCount val="16"/>
                <c:pt idx="0">
                  <c:v>75.384615384615401</c:v>
                </c:pt>
                <c:pt idx="1">
                  <c:v>92.307692307692292</c:v>
                </c:pt>
                <c:pt idx="2">
                  <c:v>78.461538461538467</c:v>
                </c:pt>
                <c:pt idx="3">
                  <c:v>69.230769230769212</c:v>
                </c:pt>
                <c:pt idx="4">
                  <c:v>70.769230769230788</c:v>
                </c:pt>
                <c:pt idx="5">
                  <c:v>80</c:v>
                </c:pt>
                <c:pt idx="6">
                  <c:v>55.38461538461538</c:v>
                </c:pt>
                <c:pt idx="7">
                  <c:v>78.461538461538467</c:v>
                </c:pt>
                <c:pt idx="8">
                  <c:v>84.615384615384599</c:v>
                </c:pt>
                <c:pt idx="9">
                  <c:v>26.15384615384616</c:v>
                </c:pt>
                <c:pt idx="10">
                  <c:v>66.153846153846118</c:v>
                </c:pt>
                <c:pt idx="11">
                  <c:v>3.0769230769230771</c:v>
                </c:pt>
                <c:pt idx="12">
                  <c:v>3.0769230769230771</c:v>
                </c:pt>
                <c:pt idx="13">
                  <c:v>13.846153846153847</c:v>
                </c:pt>
                <c:pt idx="14">
                  <c:v>16.923076923076923</c:v>
                </c:pt>
                <c:pt idx="15">
                  <c:v>38.46153846153846</c:v>
                </c:pt>
              </c:numCache>
            </c:numRef>
          </c:val>
        </c:ser>
        <c:axId val="145565568"/>
        <c:axId val="146973056"/>
      </c:barChart>
      <c:catAx>
        <c:axId val="145565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 </a:t>
                </a:r>
              </a:p>
            </c:rich>
          </c:tx>
        </c:title>
        <c:tickLblPos val="nextTo"/>
        <c:crossAx val="146973056"/>
        <c:crosses val="autoZero"/>
        <c:auto val="1"/>
        <c:lblAlgn val="ctr"/>
        <c:lblOffset val="100"/>
      </c:catAx>
      <c:valAx>
        <c:axId val="1469730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14556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HP</cp:lastModifiedBy>
  <cp:revision>8</cp:revision>
  <dcterms:created xsi:type="dcterms:W3CDTF">2019-03-25T00:16:00Z</dcterms:created>
  <dcterms:modified xsi:type="dcterms:W3CDTF">2019-03-25T17:04:00Z</dcterms:modified>
</cp:coreProperties>
</file>