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16" w:rsidRPr="00B54291" w:rsidRDefault="00B54291" w:rsidP="00B54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291">
        <w:rPr>
          <w:rFonts w:ascii="Times New Roman" w:hAnsi="Times New Roman" w:cs="Times New Roman"/>
          <w:b/>
          <w:sz w:val="24"/>
          <w:szCs w:val="24"/>
        </w:rPr>
        <w:tab/>
        <w:t>АНАЛИЗ РЕЗУЛЬТАТОВ</w:t>
      </w:r>
    </w:p>
    <w:p w:rsidR="00B54291" w:rsidRPr="00B54291" w:rsidRDefault="00B54291" w:rsidP="00B54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291">
        <w:rPr>
          <w:rFonts w:ascii="Times New Roman" w:hAnsi="Times New Roman" w:cs="Times New Roman"/>
          <w:b/>
          <w:sz w:val="24"/>
          <w:szCs w:val="24"/>
        </w:rPr>
        <w:t>краевой диагностической работы по АЛГЕБРЕ</w:t>
      </w:r>
    </w:p>
    <w:p w:rsidR="00B54291" w:rsidRDefault="00B54291" w:rsidP="00B54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291">
        <w:rPr>
          <w:rFonts w:ascii="Times New Roman" w:hAnsi="Times New Roman" w:cs="Times New Roman"/>
          <w:b/>
          <w:sz w:val="24"/>
          <w:szCs w:val="24"/>
        </w:rPr>
        <w:t>7 класс (30 января 2019г.)</w:t>
      </w:r>
    </w:p>
    <w:p w:rsidR="00BF20DB" w:rsidRPr="00B54291" w:rsidRDefault="00BF20DB" w:rsidP="00B54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СЕВЕРСКИЙ РАЙОН</w:t>
      </w:r>
    </w:p>
    <w:p w:rsidR="00B54291" w:rsidRDefault="00B54291" w:rsidP="00B54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91">
        <w:rPr>
          <w:rFonts w:ascii="Times New Roman" w:hAnsi="Times New Roman" w:cs="Times New Roman"/>
          <w:sz w:val="24"/>
          <w:szCs w:val="24"/>
        </w:rPr>
        <w:t xml:space="preserve">Диагностическую работу </w:t>
      </w:r>
      <w:r>
        <w:rPr>
          <w:rFonts w:ascii="Times New Roman" w:hAnsi="Times New Roman" w:cs="Times New Roman"/>
          <w:sz w:val="24"/>
          <w:szCs w:val="24"/>
        </w:rPr>
        <w:t>по алгебре выполняли 1170 учащихся 7-х классов, что составило 90, 8 % всех учащихся 7-х классов района.</w:t>
      </w:r>
    </w:p>
    <w:p w:rsidR="00B54291" w:rsidRDefault="00B54291" w:rsidP="00B54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1 представлены проценты полученных оценок по итогам работы для разных типов классов.</w:t>
      </w:r>
    </w:p>
    <w:p w:rsidR="00700CD1" w:rsidRPr="00700CD1" w:rsidRDefault="00700CD1" w:rsidP="00700CD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3"/>
        <w:tblW w:w="0" w:type="auto"/>
        <w:tblLook w:val="04A0"/>
      </w:tblPr>
      <w:tblGrid>
        <w:gridCol w:w="1970"/>
        <w:gridCol w:w="1562"/>
        <w:gridCol w:w="1511"/>
        <w:gridCol w:w="1511"/>
        <w:gridCol w:w="1511"/>
        <w:gridCol w:w="1506"/>
      </w:tblGrid>
      <w:tr w:rsidR="00611EB9" w:rsidTr="00700CD1">
        <w:tc>
          <w:tcPr>
            <w:tcW w:w="1970" w:type="dxa"/>
            <w:vMerge w:val="restart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6039" w:type="dxa"/>
            <w:gridSpan w:val="4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полученных оценок</w:t>
            </w:r>
          </w:p>
        </w:tc>
      </w:tr>
      <w:tr w:rsidR="00611EB9" w:rsidTr="00700CD1">
        <w:tc>
          <w:tcPr>
            <w:tcW w:w="1970" w:type="dxa"/>
            <w:vMerge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11" w:type="dxa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11" w:type="dxa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06" w:type="dxa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00CD1" w:rsidRPr="00700CD1" w:rsidTr="00700CD1">
        <w:tc>
          <w:tcPr>
            <w:tcW w:w="1970" w:type="dxa"/>
          </w:tcPr>
          <w:p w:rsidR="00700CD1" w:rsidRPr="00700CD1" w:rsidRDefault="00700CD1" w:rsidP="00700CD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0C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 краю </w:t>
            </w:r>
          </w:p>
        </w:tc>
        <w:tc>
          <w:tcPr>
            <w:tcW w:w="1562" w:type="dxa"/>
          </w:tcPr>
          <w:p w:rsidR="00700CD1" w:rsidRPr="00700CD1" w:rsidRDefault="00700CD1" w:rsidP="00611E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700CD1" w:rsidRPr="00700CD1" w:rsidRDefault="00700CD1" w:rsidP="00611E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18,7</w:t>
            </w:r>
          </w:p>
        </w:tc>
        <w:tc>
          <w:tcPr>
            <w:tcW w:w="1511" w:type="dxa"/>
          </w:tcPr>
          <w:p w:rsidR="00700CD1" w:rsidRPr="00700CD1" w:rsidRDefault="00700CD1" w:rsidP="00611E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46,7</w:t>
            </w:r>
          </w:p>
        </w:tc>
        <w:tc>
          <w:tcPr>
            <w:tcW w:w="1511" w:type="dxa"/>
          </w:tcPr>
          <w:p w:rsidR="00700CD1" w:rsidRPr="00700CD1" w:rsidRDefault="00700CD1" w:rsidP="00611E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25,4</w:t>
            </w:r>
          </w:p>
        </w:tc>
        <w:tc>
          <w:tcPr>
            <w:tcW w:w="1506" w:type="dxa"/>
          </w:tcPr>
          <w:p w:rsidR="00700CD1" w:rsidRPr="00700CD1" w:rsidRDefault="00700CD1" w:rsidP="00611E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9,3</w:t>
            </w:r>
          </w:p>
        </w:tc>
      </w:tr>
      <w:tr w:rsidR="00611EB9" w:rsidTr="00700CD1">
        <w:tc>
          <w:tcPr>
            <w:tcW w:w="1970" w:type="dxa"/>
          </w:tcPr>
          <w:p w:rsidR="00611EB9" w:rsidRDefault="00611EB9" w:rsidP="0061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всех образовательных организаций (без учащихся 7-го вида)</w:t>
            </w:r>
          </w:p>
        </w:tc>
        <w:tc>
          <w:tcPr>
            <w:tcW w:w="1562" w:type="dxa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511" w:type="dxa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511" w:type="dxa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511" w:type="dxa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506" w:type="dxa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700CD1" w:rsidRPr="00700CD1" w:rsidTr="00700CD1">
        <w:tc>
          <w:tcPr>
            <w:tcW w:w="1970" w:type="dxa"/>
          </w:tcPr>
          <w:p w:rsidR="00700CD1" w:rsidRPr="00700CD1" w:rsidRDefault="00700CD1" w:rsidP="00611E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 краю </w:t>
            </w:r>
          </w:p>
        </w:tc>
        <w:tc>
          <w:tcPr>
            <w:tcW w:w="1562" w:type="dxa"/>
          </w:tcPr>
          <w:p w:rsidR="00700CD1" w:rsidRPr="00700CD1" w:rsidRDefault="00700CD1" w:rsidP="00611E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700CD1" w:rsidRPr="00700CD1" w:rsidRDefault="00700CD1" w:rsidP="00611E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42,9</w:t>
            </w:r>
          </w:p>
        </w:tc>
        <w:tc>
          <w:tcPr>
            <w:tcW w:w="1511" w:type="dxa"/>
          </w:tcPr>
          <w:p w:rsidR="00700CD1" w:rsidRPr="00700CD1" w:rsidRDefault="00700CD1" w:rsidP="00611E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54,8</w:t>
            </w:r>
          </w:p>
        </w:tc>
        <w:tc>
          <w:tcPr>
            <w:tcW w:w="1511" w:type="dxa"/>
          </w:tcPr>
          <w:p w:rsidR="00700CD1" w:rsidRPr="00700CD1" w:rsidRDefault="00700CD1" w:rsidP="00611E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2,1</w:t>
            </w:r>
          </w:p>
        </w:tc>
        <w:tc>
          <w:tcPr>
            <w:tcW w:w="1506" w:type="dxa"/>
          </w:tcPr>
          <w:p w:rsidR="00700CD1" w:rsidRPr="00700CD1" w:rsidRDefault="00700CD1" w:rsidP="00611E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</w:t>
            </w:r>
          </w:p>
        </w:tc>
      </w:tr>
      <w:tr w:rsidR="00611EB9" w:rsidTr="00700CD1">
        <w:tc>
          <w:tcPr>
            <w:tcW w:w="1970" w:type="dxa"/>
          </w:tcPr>
          <w:p w:rsidR="00611EB9" w:rsidRDefault="00611EB9" w:rsidP="0061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7-го вида</w:t>
            </w:r>
          </w:p>
        </w:tc>
        <w:tc>
          <w:tcPr>
            <w:tcW w:w="1562" w:type="dxa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1" w:type="dxa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511" w:type="dxa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1" w:type="dxa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06" w:type="dxa"/>
          </w:tcPr>
          <w:p w:rsidR="00611EB9" w:rsidRDefault="00611EB9" w:rsidP="0061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4291" w:rsidRDefault="00B54291" w:rsidP="00B54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CD1" w:rsidRDefault="00700CD1" w:rsidP="00B54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диаграмме 1 представлены проценты полученных оценок по итогам работы для всех образовательн</w:t>
      </w:r>
      <w:r w:rsidR="00037C54">
        <w:rPr>
          <w:rFonts w:ascii="Times New Roman" w:hAnsi="Times New Roman" w:cs="Times New Roman"/>
          <w:sz w:val="24"/>
          <w:szCs w:val="24"/>
        </w:rPr>
        <w:t>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CD1" w:rsidRDefault="00700CD1" w:rsidP="00700CD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1.</w:t>
      </w:r>
    </w:p>
    <w:p w:rsidR="00700CD1" w:rsidRDefault="00700CD1" w:rsidP="00700CD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067847" cy="1763059"/>
            <wp:effectExtent l="19050" t="0" r="27903" b="859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37C54" w:rsidRDefault="00037C54" w:rsidP="00037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8 заданий, три из которых с кратким ответом и четыре с</w:t>
      </w:r>
      <w:r w:rsidR="001F0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выбором ответа – задания базового уровня сложности и одно задание повышенного уровня сложности, с развернутым ответом, правильное, обоснованное решение которого</w:t>
      </w:r>
      <w:r w:rsidR="001F00D6">
        <w:rPr>
          <w:rFonts w:ascii="Times New Roman" w:hAnsi="Times New Roman" w:cs="Times New Roman"/>
          <w:sz w:val="24"/>
          <w:szCs w:val="24"/>
        </w:rPr>
        <w:t xml:space="preserve"> оценивалось в два балла. Задания проверяли знания учащихся, полученные за курс алгебры 7 класса.</w:t>
      </w:r>
    </w:p>
    <w:p w:rsidR="001F00D6" w:rsidRDefault="001F00D6" w:rsidP="00037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работы была диагностика уровня знаний учащихся по математике на данном этапе обучения для планирования процесса подготовки к основному государственному экзамену. </w:t>
      </w:r>
    </w:p>
    <w:p w:rsidR="001F00D6" w:rsidRDefault="001F00D6" w:rsidP="00037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району составил 4, 94.</w:t>
      </w:r>
      <w:r w:rsidR="00DB028E">
        <w:rPr>
          <w:rFonts w:ascii="Times New Roman" w:hAnsi="Times New Roman" w:cs="Times New Roman"/>
          <w:sz w:val="24"/>
          <w:szCs w:val="24"/>
        </w:rPr>
        <w:t xml:space="preserve"> Полный балл за работу составил 9 баллов.</w:t>
      </w:r>
    </w:p>
    <w:p w:rsidR="00B35689" w:rsidRDefault="00B35689" w:rsidP="00037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689" w:rsidRDefault="00B35689" w:rsidP="00037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по </w:t>
      </w:r>
      <w:r w:rsidR="0034492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колам представлен на диаграмме 2.</w:t>
      </w:r>
    </w:p>
    <w:p w:rsidR="00B35689" w:rsidRPr="00B35689" w:rsidRDefault="00B35689" w:rsidP="0063319A">
      <w:pPr>
        <w:spacing w:after="0"/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Диаграмма 2.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877797" cy="3203389"/>
            <wp:effectExtent l="19050" t="0" r="18303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35689" w:rsidRDefault="00112962" w:rsidP="00037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диаграмме 3 показано соотношение отличных и неудовлетворительных результатов по школам</w:t>
      </w:r>
      <w:r w:rsidR="008B5650">
        <w:rPr>
          <w:rFonts w:ascii="Times New Roman" w:hAnsi="Times New Roman" w:cs="Times New Roman"/>
          <w:sz w:val="24"/>
          <w:szCs w:val="24"/>
        </w:rPr>
        <w:t xml:space="preserve"> в процентах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19A" w:rsidRPr="0063319A" w:rsidRDefault="0063319A" w:rsidP="0063319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3</w:t>
      </w:r>
    </w:p>
    <w:p w:rsidR="00112962" w:rsidRDefault="00112962" w:rsidP="008B565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61044" cy="4278144"/>
            <wp:effectExtent l="19050" t="0" r="11206" b="8106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35689" w:rsidRDefault="008B5650" w:rsidP="00037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показывает, что только в двух школах района отличные результаты превысили неудовлетворительные – это СОШ №4 и Азовская гимназия. В трех школах района СОШ №43, 52, 7)  неудовлетворительный результат оказался выше 40%, причем в школах №43 и 7 при полном отсутствии отличных результатов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отсутствуют отличные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</w:t>
      </w:r>
      <w:r w:rsidR="0063319A">
        <w:rPr>
          <w:rFonts w:ascii="Times New Roman" w:hAnsi="Times New Roman" w:cs="Times New Roman"/>
          <w:sz w:val="24"/>
          <w:szCs w:val="24"/>
        </w:rPr>
        <w:t>в школах №21, №12, №3, №59, №6, №1, №14. Также их нет и в школах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19A">
        <w:rPr>
          <w:rFonts w:ascii="Times New Roman" w:hAnsi="Times New Roman" w:cs="Times New Roman"/>
          <w:sz w:val="24"/>
          <w:szCs w:val="24"/>
        </w:rPr>
        <w:t xml:space="preserve"> №2, №8, №37, №60, но следует отметить, что в указанных школах отсутствуют и неудовлетворительные результаты</w:t>
      </w:r>
      <w:proofErr w:type="gramStart"/>
      <w:r w:rsidR="006331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319A">
        <w:rPr>
          <w:rFonts w:ascii="Times New Roman" w:hAnsi="Times New Roman" w:cs="Times New Roman"/>
          <w:sz w:val="24"/>
          <w:szCs w:val="24"/>
        </w:rPr>
        <w:t xml:space="preserve"> Учителям указанных школ, следует обратить внимание на качественную подготовку учащихся, через два года данные учащиеся выйдут на итоговую аттестацию, имея пробелы по ключевым темам курса алгебры.</w:t>
      </w:r>
    </w:p>
    <w:p w:rsidR="00B35689" w:rsidRDefault="00B35689" w:rsidP="00037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0DB" w:rsidRDefault="00DB028E" w:rsidP="00B356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представлен на диаграмме </w:t>
      </w:r>
      <w:r w:rsidR="001129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962" w:rsidRDefault="00112962" w:rsidP="00B356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689" w:rsidRDefault="00112962" w:rsidP="00B356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align>top</wp:align>
            </wp:positionV>
            <wp:extent cx="6464935" cy="2085340"/>
            <wp:effectExtent l="19050" t="0" r="12065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BF20DB" w:rsidRDefault="00DB028E" w:rsidP="00E832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Диаграмма </w:t>
      </w:r>
      <w:r w:rsidR="00112962">
        <w:rPr>
          <w:rFonts w:ascii="Times New Roman" w:hAnsi="Times New Roman" w:cs="Times New Roman"/>
          <w:i/>
          <w:sz w:val="24"/>
          <w:szCs w:val="24"/>
        </w:rPr>
        <w:t>4</w:t>
      </w:r>
      <w:r w:rsidR="00BF20DB">
        <w:rPr>
          <w:rFonts w:ascii="Times New Roman" w:hAnsi="Times New Roman" w:cs="Times New Roman"/>
          <w:i/>
          <w:sz w:val="24"/>
          <w:szCs w:val="24"/>
        </w:rPr>
        <w:t>.</w:t>
      </w:r>
    </w:p>
    <w:p w:rsidR="00E832A6" w:rsidRDefault="00E832A6" w:rsidP="00DB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диаграммы видно, что наиболее успешно (79,1%) учащиеся выполнили </w:t>
      </w:r>
      <w:r>
        <w:rPr>
          <w:rFonts w:ascii="Times New Roman" w:hAnsi="Times New Roman" w:cs="Times New Roman"/>
          <w:b/>
          <w:sz w:val="24"/>
          <w:szCs w:val="24"/>
        </w:rPr>
        <w:t>задание №2</w:t>
      </w:r>
      <w:r>
        <w:rPr>
          <w:rFonts w:ascii="Times New Roman" w:hAnsi="Times New Roman" w:cs="Times New Roman"/>
          <w:sz w:val="24"/>
          <w:szCs w:val="24"/>
        </w:rPr>
        <w:t xml:space="preserve"> (с выбором ответа), которое проверяло умение учащихся работать с таблицей.</w:t>
      </w:r>
    </w:p>
    <w:p w:rsidR="00277AA2" w:rsidRDefault="00277AA2" w:rsidP="00DB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№1 </w:t>
      </w:r>
      <w:r>
        <w:rPr>
          <w:rFonts w:ascii="Times New Roman" w:hAnsi="Times New Roman" w:cs="Times New Roman"/>
          <w:sz w:val="24"/>
          <w:szCs w:val="24"/>
        </w:rPr>
        <w:t xml:space="preserve"> (с кратким ответом) проверяло умение учащихся выполнять арифметические действия с рациональными числами. </w:t>
      </w:r>
      <w:r w:rsidR="00BF20DB">
        <w:rPr>
          <w:rFonts w:ascii="Times New Roman" w:hAnsi="Times New Roman" w:cs="Times New Roman"/>
          <w:sz w:val="24"/>
          <w:szCs w:val="24"/>
        </w:rPr>
        <w:t>Уровень выполнения составил 56,</w:t>
      </w:r>
      <w:r>
        <w:rPr>
          <w:rFonts w:ascii="Times New Roman" w:hAnsi="Times New Roman" w:cs="Times New Roman"/>
          <w:sz w:val="24"/>
          <w:szCs w:val="24"/>
        </w:rPr>
        <w:t>4%. Это самый низкий  результат выполнения задания по базовому уровню заданий. И ниже краевого</w:t>
      </w:r>
      <w:r w:rsidR="00BF20DB">
        <w:rPr>
          <w:rFonts w:ascii="Times New Roman" w:hAnsi="Times New Roman" w:cs="Times New Roman"/>
          <w:sz w:val="24"/>
          <w:szCs w:val="24"/>
        </w:rPr>
        <w:t>, почти на 5%</w:t>
      </w:r>
      <w:r>
        <w:rPr>
          <w:rFonts w:ascii="Times New Roman" w:hAnsi="Times New Roman" w:cs="Times New Roman"/>
          <w:sz w:val="24"/>
          <w:szCs w:val="24"/>
        </w:rPr>
        <w:t>. Следует обратить внимание на вычислительную культуру учащихся, так необходимую для выполнения большинства заданий.</w:t>
      </w:r>
    </w:p>
    <w:p w:rsidR="00B35DC8" w:rsidRDefault="00277AA2" w:rsidP="00DB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№3 (</w:t>
      </w:r>
      <w:r>
        <w:rPr>
          <w:rFonts w:ascii="Times New Roman" w:hAnsi="Times New Roman" w:cs="Times New Roman"/>
          <w:sz w:val="24"/>
          <w:szCs w:val="24"/>
        </w:rPr>
        <w:t>с кратким ответом) проверяло умение учащихся решать задачи на проценты</w:t>
      </w:r>
      <w:r w:rsidR="00BF20DB">
        <w:rPr>
          <w:rFonts w:ascii="Times New Roman" w:hAnsi="Times New Roman" w:cs="Times New Roman"/>
          <w:sz w:val="24"/>
          <w:szCs w:val="24"/>
        </w:rPr>
        <w:t>. Уровень выполнения составил 57,7%</w:t>
      </w:r>
      <w:r w:rsidR="00B35DC8">
        <w:rPr>
          <w:rFonts w:ascii="Times New Roman" w:hAnsi="Times New Roman" w:cs="Times New Roman"/>
          <w:sz w:val="24"/>
          <w:szCs w:val="24"/>
        </w:rPr>
        <w:t xml:space="preserve">, что говорит также о низкой подготовке учащихся. </w:t>
      </w:r>
      <w:r w:rsidR="008C2DEC">
        <w:rPr>
          <w:rFonts w:ascii="Times New Roman" w:hAnsi="Times New Roman" w:cs="Times New Roman"/>
          <w:sz w:val="24"/>
          <w:szCs w:val="24"/>
        </w:rPr>
        <w:t xml:space="preserve">Это еще одно задание, которое выполнено на одном из самых низких уровнях. </w:t>
      </w:r>
      <w:r w:rsidR="00B35DC8">
        <w:rPr>
          <w:rFonts w:ascii="Times New Roman" w:hAnsi="Times New Roman" w:cs="Times New Roman"/>
          <w:sz w:val="24"/>
          <w:szCs w:val="24"/>
        </w:rPr>
        <w:t xml:space="preserve">Тема «Основные задачи на проценты» изучается в 5-6 классах, но выходит на итоговую аттестацию по предмету, поэтому следует обратить серьезное внимание на решение основных задач на проценты. </w:t>
      </w:r>
    </w:p>
    <w:p w:rsidR="00277AA2" w:rsidRDefault="00B35DC8" w:rsidP="00DB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№4 </w:t>
      </w:r>
      <w:r>
        <w:rPr>
          <w:rFonts w:ascii="Times New Roman" w:hAnsi="Times New Roman" w:cs="Times New Roman"/>
          <w:sz w:val="24"/>
          <w:szCs w:val="24"/>
        </w:rPr>
        <w:t xml:space="preserve">(с выбором ответа) проверяло умение учащихся выполнять действия со степенями с натуральным показателем. Уровень выполнения составил 74,4%.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лучший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показатель. Чем по предыдущим заданиям, но ниже краевого на 2,6%.</w:t>
      </w:r>
    </w:p>
    <w:p w:rsidR="00B35DC8" w:rsidRDefault="00B35DC8" w:rsidP="00DB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№5 </w:t>
      </w:r>
      <w:r>
        <w:rPr>
          <w:rFonts w:ascii="Times New Roman" w:hAnsi="Times New Roman" w:cs="Times New Roman"/>
          <w:sz w:val="24"/>
          <w:szCs w:val="24"/>
        </w:rPr>
        <w:t>(с выбором ответа) проверяло умение учащихся выражать одну величину через другие. Процент его выполнения 62,4%, что ниже краевого на 0,6%.</w:t>
      </w:r>
      <w:r w:rsidR="008C2DEC">
        <w:rPr>
          <w:rFonts w:ascii="Times New Roman" w:hAnsi="Times New Roman" w:cs="Times New Roman"/>
          <w:sz w:val="24"/>
          <w:szCs w:val="24"/>
        </w:rPr>
        <w:t xml:space="preserve"> Уровень выполнения недостаточно высокий, но разница с краевым результатом значительно сокращена.</w:t>
      </w:r>
    </w:p>
    <w:p w:rsidR="008C2DEC" w:rsidRDefault="008C2DEC" w:rsidP="00DB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№6 </w:t>
      </w:r>
      <w:r>
        <w:rPr>
          <w:rFonts w:ascii="Times New Roman" w:hAnsi="Times New Roman" w:cs="Times New Roman"/>
          <w:sz w:val="24"/>
          <w:szCs w:val="24"/>
        </w:rPr>
        <w:t xml:space="preserve">(с кратким ответом) проверяло умение учащихся </w:t>
      </w:r>
      <w:r w:rsidR="00CB50BB">
        <w:rPr>
          <w:rFonts w:ascii="Times New Roman" w:hAnsi="Times New Roman" w:cs="Times New Roman"/>
          <w:sz w:val="24"/>
          <w:szCs w:val="24"/>
        </w:rPr>
        <w:t>решать линейные уравнения</w:t>
      </w:r>
      <w:r>
        <w:rPr>
          <w:rFonts w:ascii="Times New Roman" w:hAnsi="Times New Roman" w:cs="Times New Roman"/>
          <w:sz w:val="24"/>
          <w:szCs w:val="24"/>
        </w:rPr>
        <w:t>. Процент выполнения составил 57,7 %. На таком же уровне выполнено и задание №3, и это задание выполнено хуже всех на краевом уровне – 61%</w:t>
      </w:r>
      <w:r w:rsidR="004E41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418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4E418D">
        <w:rPr>
          <w:rFonts w:ascii="Times New Roman" w:hAnsi="Times New Roman" w:cs="Times New Roman"/>
          <w:sz w:val="24"/>
          <w:szCs w:val="24"/>
        </w:rPr>
        <w:t xml:space="preserve"> тем не менее результат по району ниже на 3,3%. </w:t>
      </w:r>
      <w:r w:rsidR="00CB50BB">
        <w:rPr>
          <w:rFonts w:ascii="Times New Roman" w:hAnsi="Times New Roman" w:cs="Times New Roman"/>
          <w:sz w:val="24"/>
          <w:szCs w:val="24"/>
        </w:rPr>
        <w:t xml:space="preserve">По всей видимости учащиеся испытывали трудности при раскрытии скобок, а также при вычислениях. </w:t>
      </w:r>
      <w:r w:rsidR="004E418D">
        <w:rPr>
          <w:rFonts w:ascii="Times New Roman" w:hAnsi="Times New Roman" w:cs="Times New Roman"/>
          <w:sz w:val="24"/>
          <w:szCs w:val="24"/>
        </w:rPr>
        <w:t xml:space="preserve">Данная тема является </w:t>
      </w:r>
      <w:r w:rsidR="004E418D">
        <w:rPr>
          <w:rFonts w:ascii="Times New Roman" w:hAnsi="Times New Roman" w:cs="Times New Roman"/>
          <w:sz w:val="24"/>
          <w:szCs w:val="24"/>
        </w:rPr>
        <w:lastRenderedPageBreak/>
        <w:t xml:space="preserve">ключевой в курсе 7 класса и может повлечь проблемы при дальнейшем изучении алгебры. </w:t>
      </w:r>
      <w:r w:rsidR="00CB50BB">
        <w:rPr>
          <w:rFonts w:ascii="Times New Roman" w:hAnsi="Times New Roman" w:cs="Times New Roman"/>
          <w:sz w:val="24"/>
          <w:szCs w:val="24"/>
        </w:rPr>
        <w:t>Поэтому необходимо уделить внимание устранению пробелов по данной теме.</w:t>
      </w:r>
    </w:p>
    <w:p w:rsidR="00CB50BB" w:rsidRDefault="00CB50BB" w:rsidP="00DB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№7 (</w:t>
      </w:r>
      <w:r>
        <w:rPr>
          <w:rFonts w:ascii="Times New Roman" w:hAnsi="Times New Roman" w:cs="Times New Roman"/>
          <w:sz w:val="24"/>
          <w:szCs w:val="24"/>
        </w:rPr>
        <w:t>с выбором ответа) проверяло умение учащихся выполнять преобразование алгебраических выражений. Процент выполнения составил 62,6%, что выше самого низкого результата данной работы, но и недостаточно высокий и ниже в среднем по краю на 2,5%.</w:t>
      </w:r>
    </w:p>
    <w:p w:rsidR="00CB50BB" w:rsidRDefault="0018486F" w:rsidP="00DB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№8</w:t>
      </w:r>
      <w:r>
        <w:rPr>
          <w:rFonts w:ascii="Times New Roman" w:hAnsi="Times New Roman" w:cs="Times New Roman"/>
          <w:sz w:val="24"/>
          <w:szCs w:val="24"/>
        </w:rPr>
        <w:t xml:space="preserve"> успешно выполнили 6,1% учащихся района на 1 балл и 19% на 2 балла. Задание проверяло умение учащихся решать текстовую задачу на движение.</w:t>
      </w:r>
    </w:p>
    <w:p w:rsidR="0018486F" w:rsidRDefault="0018486F" w:rsidP="00DB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выполнения всех заданий, как показывает диаграмма 2 ниже уровня выполнения заданий в среднем по краю. </w:t>
      </w:r>
    </w:p>
    <w:p w:rsidR="0018486F" w:rsidRDefault="0018486F" w:rsidP="00DB02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8486F" w:rsidRDefault="0018486F" w:rsidP="00DB02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 учителям:</w:t>
      </w:r>
    </w:p>
    <w:p w:rsidR="0018486F" w:rsidRDefault="0018486F" w:rsidP="00DB02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выделить «проблемные» темы у каждого слабого учащегося в классе и работать над ликвидацией пробелов в знаниях и умениях конкретного учащегося</w:t>
      </w:r>
      <w:r w:rsidR="00637459">
        <w:rPr>
          <w:rFonts w:ascii="Times New Roman" w:hAnsi="Times New Roman" w:cs="Times New Roman"/>
          <w:i/>
          <w:sz w:val="24"/>
          <w:szCs w:val="24"/>
        </w:rPr>
        <w:t>;</w:t>
      </w:r>
    </w:p>
    <w:p w:rsidR="00637459" w:rsidRDefault="00637459" w:rsidP="00DB02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 сильными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занятиях;</w:t>
      </w:r>
    </w:p>
    <w:p w:rsidR="00637459" w:rsidRPr="0018486F" w:rsidRDefault="00637459" w:rsidP="00DB02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включать в тематические самостоятельные и контрольные работы задания в тестовой форме, уделив особое внимание правилам записи ответа в краткой форме;</w:t>
      </w:r>
    </w:p>
    <w:p w:rsidR="0018486F" w:rsidRDefault="0018486F" w:rsidP="00DB02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организовать регулярную устную работу на уроках по закреплению вычислительных навыков учащихся с рациональными числами;</w:t>
      </w:r>
    </w:p>
    <w:p w:rsidR="00637459" w:rsidRDefault="0018486F" w:rsidP="00DB02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7459">
        <w:rPr>
          <w:rFonts w:ascii="Times New Roman" w:hAnsi="Times New Roman" w:cs="Times New Roman"/>
          <w:i/>
          <w:sz w:val="24"/>
          <w:szCs w:val="24"/>
        </w:rPr>
        <w:t>усилить практическую направленность обучения, включая соответствующие задания по темам «Проценты» и «Действия с рациональными числами»;</w:t>
      </w:r>
    </w:p>
    <w:p w:rsidR="0018486F" w:rsidRDefault="00637459" w:rsidP="00DB02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обратить особое внимание на преподавание тем «Решение уравнений» и «Преобразование алгебраических выражений», как ключевых тем курса алгебры;</w:t>
      </w:r>
    </w:p>
    <w:p w:rsidR="00637459" w:rsidRPr="0018486F" w:rsidRDefault="00637459" w:rsidP="00DB02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разбирать решение текстовых задач с построением математических моделей реальных ситуаций со всеми учащимися.</w:t>
      </w:r>
    </w:p>
    <w:sectPr w:rsidR="00637459" w:rsidRPr="0018486F" w:rsidSect="00A0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B54291"/>
    <w:rsid w:val="00037C54"/>
    <w:rsid w:val="00054A4F"/>
    <w:rsid w:val="00112962"/>
    <w:rsid w:val="0018486F"/>
    <w:rsid w:val="001E1729"/>
    <w:rsid w:val="001F00D6"/>
    <w:rsid w:val="00277AA2"/>
    <w:rsid w:val="00344925"/>
    <w:rsid w:val="003C1F28"/>
    <w:rsid w:val="003D0D60"/>
    <w:rsid w:val="00472F89"/>
    <w:rsid w:val="004E418D"/>
    <w:rsid w:val="00611EB9"/>
    <w:rsid w:val="0063319A"/>
    <w:rsid w:val="00637459"/>
    <w:rsid w:val="00700CD1"/>
    <w:rsid w:val="008B5650"/>
    <w:rsid w:val="008C2DEC"/>
    <w:rsid w:val="009B563C"/>
    <w:rsid w:val="00A06516"/>
    <w:rsid w:val="00B35689"/>
    <w:rsid w:val="00B35DC8"/>
    <w:rsid w:val="00B54291"/>
    <w:rsid w:val="00B9437D"/>
    <w:rsid w:val="00BF20DB"/>
    <w:rsid w:val="00CB50BB"/>
    <w:rsid w:val="00CD14B8"/>
    <w:rsid w:val="00DB028E"/>
    <w:rsid w:val="00DD7208"/>
    <w:rsid w:val="00E572B1"/>
    <w:rsid w:val="00E8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среднем по району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"4"</c:v>
                </c:pt>
                <c:pt idx="1">
                  <c:v>"2"</c:v>
                </c:pt>
                <c:pt idx="2">
                  <c:v>"3"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21.6</c:v>
                </c:pt>
                <c:pt idx="2">
                  <c:v>49</c:v>
                </c:pt>
                <c:pt idx="3">
                  <c:v>6.4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школам района</c:v>
                </c:pt>
              </c:strCache>
            </c:strRef>
          </c:tx>
          <c:dPt>
            <c:idx val="15"/>
            <c:spPr>
              <a:solidFill>
                <a:srgbClr val="C00000"/>
              </a:solidFill>
            </c:spPr>
          </c:dPt>
          <c:dLbls>
            <c:dLbl>
              <c:idx val="8"/>
              <c:tx>
                <c:rich>
                  <a:bodyPr/>
                  <a:lstStyle/>
                  <a:p>
                    <a:r>
                      <a:rPr lang="ru-RU" sz="800" baseline="30000"/>
                      <a:t>3,18</a:t>
                    </a:r>
                  </a:p>
                </c:rich>
              </c:tx>
              <c:showVal val="1"/>
            </c:dLbl>
            <c:dLbl>
              <c:idx val="30"/>
              <c:tx>
                <c:rich>
                  <a:bodyPr/>
                  <a:lstStyle/>
                  <a:p>
                    <a:r>
                      <a:rPr lang="ru-RU"/>
                      <a:t>3,18</a:t>
                    </a:r>
                  </a:p>
                  <a:p>
                    <a:endParaRPr lang="ru-RU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aseline="30000">
                    <a:latin typeface="Goudy Old Style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Лист1!$A$2:$A$32</c:f>
              <c:strCache>
                <c:ptCount val="31"/>
                <c:pt idx="0">
                  <c:v>Азовская гимназия</c:v>
                </c:pt>
                <c:pt idx="1">
                  <c:v>СОШ №4</c:v>
                </c:pt>
                <c:pt idx="2">
                  <c:v>СОШ №51</c:v>
                </c:pt>
                <c:pt idx="3">
                  <c:v>Афипский лицей</c:v>
                </c:pt>
                <c:pt idx="4">
                  <c:v>СОШ №27</c:v>
                </c:pt>
                <c:pt idx="5">
                  <c:v>СОШ №14</c:v>
                </c:pt>
                <c:pt idx="6">
                  <c:v>СОШ №32</c:v>
                </c:pt>
                <c:pt idx="7">
                  <c:v>СОШ №2</c:v>
                </c:pt>
                <c:pt idx="8">
                  <c:v>СОШ №46</c:v>
                </c:pt>
                <c:pt idx="9">
                  <c:v>СОШ №1</c:v>
                </c:pt>
                <c:pt idx="10">
                  <c:v>СОШ №11</c:v>
                </c:pt>
                <c:pt idx="11">
                  <c:v>СОШ №44</c:v>
                </c:pt>
                <c:pt idx="12">
                  <c:v>ООШ№8</c:v>
                </c:pt>
                <c:pt idx="13">
                  <c:v>СОШ №49</c:v>
                </c:pt>
                <c:pt idx="14">
                  <c:v>СОШ №59</c:v>
                </c:pt>
                <c:pt idx="15">
                  <c:v>средний по району</c:v>
                </c:pt>
                <c:pt idx="16">
                  <c:v>СОШ №19</c:v>
                </c:pt>
                <c:pt idx="17">
                  <c:v>СОШ №17</c:v>
                </c:pt>
                <c:pt idx="18">
                  <c:v>СОШ №16</c:v>
                </c:pt>
                <c:pt idx="19">
                  <c:v>СОШ №45</c:v>
                </c:pt>
                <c:pt idx="20">
                  <c:v>ООШ №37</c:v>
                </c:pt>
                <c:pt idx="21">
                  <c:v>СОШ №36</c:v>
                </c:pt>
                <c:pt idx="22">
                  <c:v>СОШ №21</c:v>
                </c:pt>
                <c:pt idx="23">
                  <c:v>ООШ №60</c:v>
                </c:pt>
                <c:pt idx="24">
                  <c:v>СОШ №6</c:v>
                </c:pt>
                <c:pt idx="25">
                  <c:v>СОШ №7</c:v>
                </c:pt>
                <c:pt idx="26">
                  <c:v>СОШ №52</c:v>
                </c:pt>
                <c:pt idx="27">
                  <c:v>СОШ №23</c:v>
                </c:pt>
                <c:pt idx="28">
                  <c:v>СОШ №3</c:v>
                </c:pt>
                <c:pt idx="29">
                  <c:v>СОШ №43</c:v>
                </c:pt>
                <c:pt idx="30">
                  <c:v>ООШ№12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6.46</c:v>
                </c:pt>
                <c:pt idx="1">
                  <c:v>6.08</c:v>
                </c:pt>
                <c:pt idx="2">
                  <c:v>5.83</c:v>
                </c:pt>
                <c:pt idx="3">
                  <c:v>5.59</c:v>
                </c:pt>
                <c:pt idx="4">
                  <c:v>5.53</c:v>
                </c:pt>
                <c:pt idx="5">
                  <c:v>5.5</c:v>
                </c:pt>
                <c:pt idx="6">
                  <c:v>5.5</c:v>
                </c:pt>
                <c:pt idx="7">
                  <c:v>5.33</c:v>
                </c:pt>
                <c:pt idx="8">
                  <c:v>5.3199999999999994</c:v>
                </c:pt>
                <c:pt idx="9">
                  <c:v>5.31</c:v>
                </c:pt>
                <c:pt idx="10">
                  <c:v>5.29</c:v>
                </c:pt>
                <c:pt idx="11">
                  <c:v>5.26</c:v>
                </c:pt>
                <c:pt idx="12">
                  <c:v>5.1099999999999994</c:v>
                </c:pt>
                <c:pt idx="13">
                  <c:v>5.05</c:v>
                </c:pt>
                <c:pt idx="14">
                  <c:v>4.9800000000000004</c:v>
                </c:pt>
                <c:pt idx="15">
                  <c:v>4.9400000000000004</c:v>
                </c:pt>
                <c:pt idx="16">
                  <c:v>4.9300000000000006</c:v>
                </c:pt>
                <c:pt idx="17">
                  <c:v>4.8499999999999996</c:v>
                </c:pt>
                <c:pt idx="18">
                  <c:v>4.79</c:v>
                </c:pt>
                <c:pt idx="19">
                  <c:v>4.72</c:v>
                </c:pt>
                <c:pt idx="20">
                  <c:v>4.5</c:v>
                </c:pt>
                <c:pt idx="21">
                  <c:v>4.09</c:v>
                </c:pt>
                <c:pt idx="22">
                  <c:v>4</c:v>
                </c:pt>
                <c:pt idx="23">
                  <c:v>4</c:v>
                </c:pt>
                <c:pt idx="24">
                  <c:v>3.9699999999999998</c:v>
                </c:pt>
                <c:pt idx="25">
                  <c:v>3.92</c:v>
                </c:pt>
                <c:pt idx="26">
                  <c:v>3.8899999999999997</c:v>
                </c:pt>
                <c:pt idx="27">
                  <c:v>3.8</c:v>
                </c:pt>
                <c:pt idx="28">
                  <c:v>3.73</c:v>
                </c:pt>
                <c:pt idx="29">
                  <c:v>3.29</c:v>
                </c:pt>
                <c:pt idx="30" formatCode="mmm/yy">
                  <c:v>3.18</c:v>
                </c:pt>
              </c:numCache>
            </c:numRef>
          </c:val>
        </c:ser>
        <c:dLbls>
          <c:showVal val="1"/>
        </c:dLbls>
        <c:gapWidth val="75"/>
        <c:shape val="cylinder"/>
        <c:axId val="77674368"/>
        <c:axId val="77675904"/>
        <c:axId val="0"/>
      </c:bar3DChart>
      <c:catAx>
        <c:axId val="77674368"/>
        <c:scaling>
          <c:orientation val="minMax"/>
        </c:scaling>
        <c:axPos val="b"/>
        <c:numFmt formatCode="General" sourceLinked="1"/>
        <c:majorTickMark val="none"/>
        <c:tickLblPos val="nextTo"/>
        <c:crossAx val="77675904"/>
        <c:crosses val="autoZero"/>
        <c:auto val="1"/>
        <c:lblAlgn val="ctr"/>
        <c:lblOffset val="100"/>
      </c:catAx>
      <c:valAx>
        <c:axId val="77675904"/>
        <c:scaling>
          <c:orientation val="minMax"/>
        </c:scaling>
        <c:axPos val="l"/>
        <c:numFmt formatCode="General" sourceLinked="1"/>
        <c:majorTickMark val="none"/>
        <c:tickLblPos val="nextTo"/>
        <c:crossAx val="7767436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Лист1!$A$2:$A$31</c:f>
              <c:strCache>
                <c:ptCount val="30"/>
                <c:pt idx="0">
                  <c:v>СОШ №43</c:v>
                </c:pt>
                <c:pt idx="1">
                  <c:v>СОШ №52</c:v>
                </c:pt>
                <c:pt idx="2">
                  <c:v>СОШ №7</c:v>
                </c:pt>
                <c:pt idx="3">
                  <c:v>СОШ №21</c:v>
                </c:pt>
                <c:pt idx="4">
                  <c:v>ООШ №12</c:v>
                </c:pt>
                <c:pt idx="5">
                  <c:v>СОШ №49</c:v>
                </c:pt>
                <c:pt idx="6">
                  <c:v>СОШ №11</c:v>
                </c:pt>
                <c:pt idx="7">
                  <c:v>СОШ №3</c:v>
                </c:pt>
                <c:pt idx="8">
                  <c:v>СОШ №51</c:v>
                </c:pt>
                <c:pt idx="9">
                  <c:v>СОШ №45</c:v>
                </c:pt>
                <c:pt idx="10">
                  <c:v>СОШ №36</c:v>
                </c:pt>
                <c:pt idx="11">
                  <c:v>СОШ №59</c:v>
                </c:pt>
                <c:pt idx="12">
                  <c:v>СОШ №23</c:v>
                </c:pt>
                <c:pt idx="13">
                  <c:v>СОШ №16</c:v>
                </c:pt>
                <c:pt idx="14">
                  <c:v>СОШ №19</c:v>
                </c:pt>
                <c:pt idx="15">
                  <c:v>Афипский лицей</c:v>
                </c:pt>
                <c:pt idx="16">
                  <c:v>СОШ №17</c:v>
                </c:pt>
                <c:pt idx="17">
                  <c:v>СОШ №32</c:v>
                </c:pt>
                <c:pt idx="18">
                  <c:v>СОШ №44</c:v>
                </c:pt>
                <c:pt idx="19">
                  <c:v>СОШ №27</c:v>
                </c:pt>
                <c:pt idx="20">
                  <c:v>СОШ №46</c:v>
                </c:pt>
                <c:pt idx="21">
                  <c:v>СОШ №6</c:v>
                </c:pt>
                <c:pt idx="22">
                  <c:v>СОШ №4</c:v>
                </c:pt>
                <c:pt idx="23">
                  <c:v>СОШ №1</c:v>
                </c:pt>
                <c:pt idx="24">
                  <c:v>Азовская гимназия</c:v>
                </c:pt>
                <c:pt idx="25">
                  <c:v>СОШ №14</c:v>
                </c:pt>
                <c:pt idx="26">
                  <c:v>СОШ №2</c:v>
                </c:pt>
                <c:pt idx="27">
                  <c:v>ООШ №8</c:v>
                </c:pt>
                <c:pt idx="28">
                  <c:v>ООШ №37</c:v>
                </c:pt>
                <c:pt idx="29">
                  <c:v>ООШ №60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5.0999999999999996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3.5</c:v>
                </c:pt>
                <c:pt idx="6">
                  <c:v>14.3</c:v>
                </c:pt>
                <c:pt idx="7">
                  <c:v>0</c:v>
                </c:pt>
                <c:pt idx="8">
                  <c:v>17.100000000000001</c:v>
                </c:pt>
                <c:pt idx="9">
                  <c:v>5</c:v>
                </c:pt>
                <c:pt idx="10">
                  <c:v>6.2</c:v>
                </c:pt>
                <c:pt idx="11">
                  <c:v>0</c:v>
                </c:pt>
                <c:pt idx="12">
                  <c:v>4</c:v>
                </c:pt>
                <c:pt idx="13">
                  <c:v>5.9</c:v>
                </c:pt>
                <c:pt idx="14">
                  <c:v>7.1</c:v>
                </c:pt>
                <c:pt idx="15">
                  <c:v>13.4</c:v>
                </c:pt>
                <c:pt idx="16">
                  <c:v>8.9</c:v>
                </c:pt>
                <c:pt idx="17">
                  <c:v>8.3000000000000007</c:v>
                </c:pt>
                <c:pt idx="18">
                  <c:v>5.5</c:v>
                </c:pt>
                <c:pt idx="19">
                  <c:v>10.7</c:v>
                </c:pt>
                <c:pt idx="20">
                  <c:v>5.3</c:v>
                </c:pt>
                <c:pt idx="21">
                  <c:v>0</c:v>
                </c:pt>
                <c:pt idx="22">
                  <c:v>10.5</c:v>
                </c:pt>
                <c:pt idx="23">
                  <c:v>0</c:v>
                </c:pt>
                <c:pt idx="24">
                  <c:v>23.1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"2"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Лист1!$A$2:$A$31</c:f>
              <c:strCache>
                <c:ptCount val="30"/>
                <c:pt idx="0">
                  <c:v>СОШ №43</c:v>
                </c:pt>
                <c:pt idx="1">
                  <c:v>СОШ №52</c:v>
                </c:pt>
                <c:pt idx="2">
                  <c:v>СОШ №7</c:v>
                </c:pt>
                <c:pt idx="3">
                  <c:v>СОШ №21</c:v>
                </c:pt>
                <c:pt idx="4">
                  <c:v>ООШ №12</c:v>
                </c:pt>
                <c:pt idx="5">
                  <c:v>СОШ №49</c:v>
                </c:pt>
                <c:pt idx="6">
                  <c:v>СОШ №11</c:v>
                </c:pt>
                <c:pt idx="7">
                  <c:v>СОШ №3</c:v>
                </c:pt>
                <c:pt idx="8">
                  <c:v>СОШ №51</c:v>
                </c:pt>
                <c:pt idx="9">
                  <c:v>СОШ №45</c:v>
                </c:pt>
                <c:pt idx="10">
                  <c:v>СОШ №36</c:v>
                </c:pt>
                <c:pt idx="11">
                  <c:v>СОШ №59</c:v>
                </c:pt>
                <c:pt idx="12">
                  <c:v>СОШ №23</c:v>
                </c:pt>
                <c:pt idx="13">
                  <c:v>СОШ №16</c:v>
                </c:pt>
                <c:pt idx="14">
                  <c:v>СОШ №19</c:v>
                </c:pt>
                <c:pt idx="15">
                  <c:v>Афипский лицей</c:v>
                </c:pt>
                <c:pt idx="16">
                  <c:v>СОШ №17</c:v>
                </c:pt>
                <c:pt idx="17">
                  <c:v>СОШ №32</c:v>
                </c:pt>
                <c:pt idx="18">
                  <c:v>СОШ №44</c:v>
                </c:pt>
                <c:pt idx="19">
                  <c:v>СОШ №27</c:v>
                </c:pt>
                <c:pt idx="20">
                  <c:v>СОШ №46</c:v>
                </c:pt>
                <c:pt idx="21">
                  <c:v>СОШ №6</c:v>
                </c:pt>
                <c:pt idx="22">
                  <c:v>СОШ №4</c:v>
                </c:pt>
                <c:pt idx="23">
                  <c:v>СОШ №1</c:v>
                </c:pt>
                <c:pt idx="24">
                  <c:v>Азовская гимназия</c:v>
                </c:pt>
                <c:pt idx="25">
                  <c:v>СОШ №14</c:v>
                </c:pt>
                <c:pt idx="26">
                  <c:v>СОШ №2</c:v>
                </c:pt>
                <c:pt idx="27">
                  <c:v>ООШ №8</c:v>
                </c:pt>
                <c:pt idx="28">
                  <c:v>ООШ №37</c:v>
                </c:pt>
                <c:pt idx="29">
                  <c:v>ООШ №60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57.5</c:v>
                </c:pt>
                <c:pt idx="1">
                  <c:v>47.5</c:v>
                </c:pt>
                <c:pt idx="2">
                  <c:v>41.7</c:v>
                </c:pt>
                <c:pt idx="3">
                  <c:v>38.9</c:v>
                </c:pt>
                <c:pt idx="4">
                  <c:v>36.4</c:v>
                </c:pt>
                <c:pt idx="5">
                  <c:v>29.1</c:v>
                </c:pt>
                <c:pt idx="6">
                  <c:v>28.6</c:v>
                </c:pt>
                <c:pt idx="7">
                  <c:v>27.3</c:v>
                </c:pt>
                <c:pt idx="8">
                  <c:v>25.7</c:v>
                </c:pt>
                <c:pt idx="9">
                  <c:v>25.2</c:v>
                </c:pt>
                <c:pt idx="10">
                  <c:v>24.6</c:v>
                </c:pt>
                <c:pt idx="11">
                  <c:v>24.3</c:v>
                </c:pt>
                <c:pt idx="12">
                  <c:v>24</c:v>
                </c:pt>
                <c:pt idx="13">
                  <c:v>23.5</c:v>
                </c:pt>
                <c:pt idx="14">
                  <c:v>21.4</c:v>
                </c:pt>
                <c:pt idx="15">
                  <c:v>19.600000000000001</c:v>
                </c:pt>
                <c:pt idx="16">
                  <c:v>19</c:v>
                </c:pt>
                <c:pt idx="17">
                  <c:v>16.7</c:v>
                </c:pt>
                <c:pt idx="18">
                  <c:v>16.399999999999999</c:v>
                </c:pt>
                <c:pt idx="19">
                  <c:v>16.100000000000001</c:v>
                </c:pt>
                <c:pt idx="20">
                  <c:v>15.8</c:v>
                </c:pt>
                <c:pt idx="21">
                  <c:v>14.6</c:v>
                </c:pt>
                <c:pt idx="22">
                  <c:v>7.9</c:v>
                </c:pt>
                <c:pt idx="23">
                  <c:v>7.7</c:v>
                </c:pt>
                <c:pt idx="24">
                  <c:v>7.7</c:v>
                </c:pt>
                <c:pt idx="25">
                  <c:v>6.8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dLbls>
          <c:showVal val="1"/>
        </c:dLbls>
        <c:gapWidth val="75"/>
        <c:shape val="cylinder"/>
        <c:axId val="77762560"/>
        <c:axId val="77764096"/>
        <c:axId val="0"/>
      </c:bar3DChart>
      <c:catAx>
        <c:axId val="77762560"/>
        <c:scaling>
          <c:orientation val="minMax"/>
        </c:scaling>
        <c:axPos val="b"/>
        <c:numFmt formatCode="General" sourceLinked="1"/>
        <c:majorTickMark val="none"/>
        <c:tickLblPos val="nextTo"/>
        <c:crossAx val="77764096"/>
        <c:crosses val="autoZero"/>
        <c:auto val="1"/>
        <c:lblAlgn val="ctr"/>
        <c:lblOffset val="100"/>
      </c:catAx>
      <c:valAx>
        <c:axId val="77764096"/>
        <c:scaling>
          <c:orientation val="minMax"/>
        </c:scaling>
        <c:axPos val="l"/>
        <c:numFmt formatCode="General" sourceLinked="1"/>
        <c:majorTickMark val="none"/>
        <c:tickLblPos val="nextTo"/>
        <c:crossAx val="7776256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Процент выполнения заданий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району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  (1б) </c:v>
                </c:pt>
                <c:pt idx="8">
                  <c:v>8 (2б)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56.4</c:v>
                </c:pt>
                <c:pt idx="1">
                  <c:v>79.099999999999994</c:v>
                </c:pt>
                <c:pt idx="2">
                  <c:v>57.7</c:v>
                </c:pt>
                <c:pt idx="3">
                  <c:v>74.400000000000006</c:v>
                </c:pt>
                <c:pt idx="4">
                  <c:v>62.4</c:v>
                </c:pt>
                <c:pt idx="5">
                  <c:v>57.7</c:v>
                </c:pt>
                <c:pt idx="6">
                  <c:v>62.6</c:v>
                </c:pt>
                <c:pt idx="7">
                  <c:v>6.1</c:v>
                </c:pt>
                <c:pt idx="8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краю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 sz="800"/>
                      <a:t>81,1</a:t>
                    </a:r>
                  </a:p>
                  <a:p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  (1б) </c:v>
                </c:pt>
                <c:pt idx="8">
                  <c:v>8 (2б)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61.6</c:v>
                </c:pt>
                <c:pt idx="1">
                  <c:v>81.099999999999994</c:v>
                </c:pt>
                <c:pt idx="2">
                  <c:v>61.8</c:v>
                </c:pt>
                <c:pt idx="3">
                  <c:v>77</c:v>
                </c:pt>
                <c:pt idx="4">
                  <c:v>63</c:v>
                </c:pt>
                <c:pt idx="5">
                  <c:v>61</c:v>
                </c:pt>
                <c:pt idx="6">
                  <c:v>65.099999999999994</c:v>
                </c:pt>
                <c:pt idx="7">
                  <c:v>6.7</c:v>
                </c:pt>
                <c:pt idx="8">
                  <c:v>23.5</c:v>
                </c:pt>
              </c:numCache>
            </c:numRef>
          </c:val>
        </c:ser>
        <c:dLbls>
          <c:showVal val="1"/>
        </c:dLbls>
        <c:shape val="cylinder"/>
        <c:axId val="82567936"/>
        <c:axId val="82569472"/>
        <c:axId val="0"/>
      </c:bar3DChart>
      <c:catAx>
        <c:axId val="825679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2569472"/>
        <c:crosses val="autoZero"/>
        <c:auto val="1"/>
        <c:lblAlgn val="ctr"/>
        <c:lblOffset val="100"/>
      </c:catAx>
      <c:valAx>
        <c:axId val="82569472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8256793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36</dc:creator>
  <cp:keywords/>
  <dc:description/>
  <cp:lastModifiedBy>МБОУ СОШ № 36</cp:lastModifiedBy>
  <cp:revision>5</cp:revision>
  <dcterms:created xsi:type="dcterms:W3CDTF">2019-03-26T09:28:00Z</dcterms:created>
  <dcterms:modified xsi:type="dcterms:W3CDTF">2019-03-26T15:42:00Z</dcterms:modified>
</cp:coreProperties>
</file>